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10141" w14:textId="65E674EC" w:rsidR="00E0458E" w:rsidRPr="00A3443F" w:rsidRDefault="004D1E7C">
      <w:pPr>
        <w:rPr>
          <w:rFonts w:ascii="Arial" w:hAnsi="Arial" w:cs="Arial"/>
          <w:b/>
          <w:bCs/>
          <w:sz w:val="24"/>
          <w:szCs w:val="24"/>
        </w:rPr>
      </w:pPr>
      <w:r w:rsidRPr="00A3443F">
        <w:rPr>
          <w:rFonts w:ascii="Arial" w:hAnsi="Arial" w:cs="Arial"/>
          <w:b/>
          <w:bCs/>
          <w:sz w:val="24"/>
          <w:szCs w:val="24"/>
        </w:rPr>
        <w:t>PETRA: trade and health network</w:t>
      </w:r>
    </w:p>
    <w:p w14:paraId="04522CAD" w14:textId="144826D7" w:rsidR="004D1E7C" w:rsidRPr="00A3443F" w:rsidRDefault="004D1E7C">
      <w:pPr>
        <w:rPr>
          <w:rFonts w:ascii="Arial" w:hAnsi="Arial" w:cs="Arial"/>
          <w:b/>
          <w:bCs/>
          <w:sz w:val="24"/>
          <w:szCs w:val="24"/>
        </w:rPr>
      </w:pPr>
      <w:r w:rsidRPr="00A3443F">
        <w:rPr>
          <w:rFonts w:ascii="Arial" w:hAnsi="Arial" w:cs="Arial"/>
          <w:b/>
          <w:bCs/>
          <w:sz w:val="24"/>
          <w:szCs w:val="24"/>
        </w:rPr>
        <w:t>CALL FOR EVIDENCE</w:t>
      </w:r>
    </w:p>
    <w:p w14:paraId="2F06BEE7" w14:textId="2DFE1B81" w:rsidR="004D1E7C" w:rsidRPr="00A3443F" w:rsidRDefault="00A3443F" w:rsidP="00A3443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</w:t>
      </w:r>
    </w:p>
    <w:p w14:paraId="030143B0" w14:textId="3086B82A" w:rsidR="00CA529E" w:rsidRPr="00A3443F" w:rsidRDefault="00CA529E" w:rsidP="00CA529E">
      <w:pPr>
        <w:rPr>
          <w:rFonts w:ascii="Arial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PETRA is an interd</w:t>
      </w:r>
      <w:r w:rsidR="00A3443F" w:rsidRPr="00A3443F">
        <w:rPr>
          <w:rFonts w:ascii="Arial" w:hAnsi="Arial" w:cs="Arial"/>
          <w:sz w:val="24"/>
          <w:szCs w:val="24"/>
        </w:rPr>
        <w:t>isciplinary network set up with UK Prevention Research Partnership funding for three years to look at the impact of trade and investment agreements on the risk factors for non-communicable diseases.</w:t>
      </w:r>
    </w:p>
    <w:p w14:paraId="73CFA6C2" w14:textId="77777777" w:rsidR="00CA529E" w:rsidRPr="00A3443F" w:rsidRDefault="004D1E7C" w:rsidP="00CA529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3443F">
        <w:rPr>
          <w:rFonts w:ascii="Arial" w:hAnsi="Arial" w:cs="Arial"/>
          <w:b/>
          <w:bCs/>
          <w:sz w:val="24"/>
          <w:szCs w:val="24"/>
        </w:rPr>
        <w:t>Objective</w:t>
      </w:r>
      <w:r w:rsidR="00CA529E" w:rsidRPr="00A3443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A4DE424" w14:textId="2DB41C92" w:rsidR="00CA529E" w:rsidRPr="00A3443F" w:rsidRDefault="00CA529E" w:rsidP="00CA529E">
      <w:pPr>
        <w:rPr>
          <w:rFonts w:ascii="Arial" w:hAnsi="Arial" w:cs="Arial"/>
          <w:sz w:val="24"/>
          <w:szCs w:val="24"/>
          <w:lang w:val="en-US"/>
        </w:rPr>
      </w:pPr>
      <w:r w:rsidRPr="00A3443F">
        <w:rPr>
          <w:rFonts w:ascii="Arial" w:hAnsi="Arial" w:cs="Arial"/>
          <w:sz w:val="24"/>
          <w:szCs w:val="24"/>
          <w:lang w:val="en-US"/>
        </w:rPr>
        <w:t>PETRA is tasked with identifying the short- and long-term research and development objectives which would be most useful for informing policy users on the implications of future trade and investment agreements on the public’s health and wellbeing.</w:t>
      </w:r>
    </w:p>
    <w:p w14:paraId="71B8DC76" w14:textId="46704DFE" w:rsidR="00CA529E" w:rsidRPr="00A3443F" w:rsidRDefault="00CA529E" w:rsidP="00CA529E">
      <w:pPr>
        <w:rPr>
          <w:rFonts w:ascii="Arial" w:hAnsi="Arial" w:cs="Arial"/>
          <w:b/>
          <w:bCs/>
          <w:sz w:val="24"/>
          <w:szCs w:val="24"/>
        </w:rPr>
      </w:pPr>
      <w:r w:rsidRPr="00A3443F">
        <w:rPr>
          <w:rFonts w:ascii="Arial" w:hAnsi="Arial" w:cs="Arial"/>
          <w:sz w:val="24"/>
          <w:szCs w:val="24"/>
          <w:lang w:val="en-US"/>
        </w:rPr>
        <w:t xml:space="preserve">As it is not possible to convene the intelligence-gathering events originally planned because of COVID-19, PETRA </w:t>
      </w:r>
      <w:r w:rsidR="00482FE5">
        <w:rPr>
          <w:rFonts w:ascii="Arial" w:hAnsi="Arial" w:cs="Arial"/>
          <w:sz w:val="24"/>
          <w:szCs w:val="24"/>
          <w:lang w:val="en-US"/>
        </w:rPr>
        <w:t xml:space="preserve">is </w:t>
      </w:r>
      <w:r w:rsidRPr="00A3443F">
        <w:rPr>
          <w:rFonts w:ascii="Arial" w:hAnsi="Arial" w:cs="Arial"/>
          <w:sz w:val="24"/>
          <w:szCs w:val="24"/>
          <w:lang w:val="en-US"/>
        </w:rPr>
        <w:t>now run</w:t>
      </w:r>
      <w:r w:rsidR="00482FE5">
        <w:rPr>
          <w:rFonts w:ascii="Arial" w:hAnsi="Arial" w:cs="Arial"/>
          <w:sz w:val="24"/>
          <w:szCs w:val="24"/>
          <w:lang w:val="en-US"/>
        </w:rPr>
        <w:t>ning</w:t>
      </w:r>
      <w:r w:rsidRPr="00A3443F">
        <w:rPr>
          <w:rFonts w:ascii="Arial" w:hAnsi="Arial" w:cs="Arial"/>
          <w:sz w:val="24"/>
          <w:szCs w:val="24"/>
          <w:lang w:val="en-US"/>
        </w:rPr>
        <w:t xml:space="preserve"> an enquiry to collect submissions from as wide a range of academic, third sector and policymakers as possible. Evidence from submissions</w:t>
      </w:r>
      <w:r w:rsidR="00A17D76">
        <w:rPr>
          <w:rFonts w:ascii="Arial" w:hAnsi="Arial" w:cs="Arial"/>
          <w:sz w:val="24"/>
          <w:szCs w:val="24"/>
          <w:lang w:val="en-US"/>
        </w:rPr>
        <w:t>, along with a set of commissioned position papers,</w:t>
      </w:r>
      <w:r w:rsidRPr="00A3443F">
        <w:rPr>
          <w:rFonts w:ascii="Arial" w:hAnsi="Arial" w:cs="Arial"/>
          <w:sz w:val="24"/>
          <w:szCs w:val="24"/>
          <w:lang w:val="en-US"/>
        </w:rPr>
        <w:t xml:space="preserve"> will be used to draft an outline research priorities framework</w:t>
      </w:r>
      <w:r w:rsidR="00482FE5">
        <w:rPr>
          <w:rFonts w:ascii="Arial" w:hAnsi="Arial" w:cs="Arial"/>
          <w:sz w:val="24"/>
          <w:szCs w:val="24"/>
          <w:lang w:val="en-US"/>
        </w:rPr>
        <w:t xml:space="preserve"> at a sandpit exercise in 2021</w:t>
      </w:r>
      <w:r w:rsidRPr="00A3443F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838C1D9" w14:textId="628E6FA8" w:rsidR="004D1E7C" w:rsidRPr="00A3443F" w:rsidRDefault="004D1E7C" w:rsidP="00CA529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3443F">
        <w:rPr>
          <w:rFonts w:ascii="Arial" w:hAnsi="Arial" w:cs="Arial"/>
          <w:b/>
          <w:bCs/>
          <w:sz w:val="24"/>
          <w:szCs w:val="24"/>
        </w:rPr>
        <w:t>Terms of reference</w:t>
      </w:r>
    </w:p>
    <w:p w14:paraId="0D5E6D22" w14:textId="6E649CEB" w:rsidR="00CA529E" w:rsidRPr="00A3443F" w:rsidRDefault="00CA529E">
      <w:pPr>
        <w:rPr>
          <w:rFonts w:ascii="Arial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The research priorities framework will consider the impact of trade and investment agreements on the public’s health and wellbeing from a wide range of perspectives. Your input is sought to help answer the following questions and identify what further research needs to be undertaken.</w:t>
      </w:r>
    </w:p>
    <w:p w14:paraId="3961FDF8" w14:textId="565D88B7" w:rsidR="009C2E70" w:rsidRPr="00A3443F" w:rsidRDefault="009C2E70" w:rsidP="009C2E70">
      <w:pPr>
        <w:pStyle w:val="Default"/>
        <w:spacing w:after="60"/>
        <w:rPr>
          <w:rFonts w:ascii="Arial" w:eastAsia="Times New Roman" w:hAnsi="Arial" w:cs="Arial"/>
          <w:b/>
          <w:bCs/>
          <w:sz w:val="24"/>
          <w:szCs w:val="24"/>
        </w:rPr>
      </w:pPr>
      <w:r w:rsidRPr="00A3443F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="00CA529E" w:rsidRPr="00A3443F">
        <w:rPr>
          <w:rFonts w:ascii="Arial" w:eastAsia="Times New Roman" w:hAnsi="Arial" w:cs="Arial"/>
          <w:b/>
          <w:bCs/>
          <w:sz w:val="24"/>
          <w:szCs w:val="24"/>
        </w:rPr>
        <w:t>on-communicable diseases</w:t>
      </w:r>
    </w:p>
    <w:p w14:paraId="59BFCE97" w14:textId="0014CB7F" w:rsidR="009C2E70" w:rsidRPr="00A3443F" w:rsidRDefault="009C2E70" w:rsidP="00A3443F">
      <w:pPr>
        <w:pStyle w:val="Default"/>
        <w:numPr>
          <w:ilvl w:val="0"/>
          <w:numId w:val="10"/>
        </w:numPr>
        <w:spacing w:after="60"/>
        <w:ind w:left="360"/>
        <w:rPr>
          <w:rFonts w:ascii="Arial" w:eastAsia="Times New Roman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What new UK trading and investment principles, arrangement and measures should ideally be in place to reduce the harm from the health damaging alcohol (tobacco and processed foods)</w:t>
      </w:r>
    </w:p>
    <w:p w14:paraId="0877C38B" w14:textId="77777777" w:rsidR="009C2E70" w:rsidRPr="00A3443F" w:rsidRDefault="009C2E70" w:rsidP="00A3443F">
      <w:pPr>
        <w:pStyle w:val="Default"/>
        <w:numPr>
          <w:ilvl w:val="0"/>
          <w:numId w:val="10"/>
        </w:numPr>
        <w:spacing w:after="60"/>
        <w:ind w:left="360"/>
        <w:rPr>
          <w:rFonts w:ascii="Arial" w:eastAsia="Times New Roman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What do you want to learn from other NCD risk factor prevention areas?</w:t>
      </w:r>
    </w:p>
    <w:p w14:paraId="2E9F6583" w14:textId="77777777" w:rsidR="00A3443F" w:rsidRPr="00A3443F" w:rsidRDefault="009C2E70" w:rsidP="00A3443F">
      <w:pPr>
        <w:pStyle w:val="Default"/>
        <w:numPr>
          <w:ilvl w:val="0"/>
          <w:numId w:val="14"/>
        </w:numPr>
        <w:spacing w:after="60"/>
        <w:ind w:left="360"/>
        <w:rPr>
          <w:rFonts w:ascii="Arial" w:eastAsia="Times New Roman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 xml:space="preserve">What are the main concerns/barriers at a general and NCD prevention level and how might they be addressed? </w:t>
      </w:r>
    </w:p>
    <w:p w14:paraId="26AC6180" w14:textId="31EB6571" w:rsidR="00A3443F" w:rsidRPr="00A3443F" w:rsidRDefault="00A3443F" w:rsidP="00A3443F">
      <w:pPr>
        <w:pStyle w:val="Default"/>
        <w:numPr>
          <w:ilvl w:val="0"/>
          <w:numId w:val="14"/>
        </w:numPr>
        <w:spacing w:after="60"/>
        <w:ind w:left="360"/>
        <w:rPr>
          <w:rFonts w:ascii="Arial" w:eastAsia="Times New Roman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How can trade policy and TIAs increase prosperity and reduce health inequalities?</w:t>
      </w:r>
    </w:p>
    <w:p w14:paraId="7417A715" w14:textId="77777777" w:rsidR="00A3443F" w:rsidRPr="00A3443F" w:rsidRDefault="00A3443F" w:rsidP="00A3443F">
      <w:pPr>
        <w:pStyle w:val="Default"/>
        <w:numPr>
          <w:ilvl w:val="0"/>
          <w:numId w:val="14"/>
        </w:numPr>
        <w:spacing w:after="120"/>
        <w:ind w:left="360"/>
        <w:rPr>
          <w:rFonts w:ascii="Arial" w:eastAsia="Times New Roman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 xml:space="preserve">What are the opportunities for </w:t>
      </w:r>
      <w:r w:rsidRPr="00A3443F">
        <w:rPr>
          <w:rFonts w:ascii="Arial" w:hAnsi="Arial" w:cs="Arial"/>
          <w:sz w:val="24"/>
          <w:szCs w:val="24"/>
          <w:rtl/>
          <w:lang w:val="ar-SA"/>
        </w:rPr>
        <w:t>“</w:t>
      </w:r>
      <w:r w:rsidRPr="00A3443F">
        <w:rPr>
          <w:rFonts w:ascii="Arial" w:hAnsi="Arial" w:cs="Arial"/>
          <w:sz w:val="24"/>
          <w:szCs w:val="24"/>
        </w:rPr>
        <w:t>taking back control” and thus maximally strengthening public health measures at a general level and for NCD prevention?</w:t>
      </w:r>
    </w:p>
    <w:p w14:paraId="22732904" w14:textId="0871F2B2" w:rsidR="009C2E70" w:rsidRPr="00A3443F" w:rsidRDefault="009C2E70" w:rsidP="009C2E70">
      <w:pPr>
        <w:pStyle w:val="Default"/>
        <w:spacing w:after="60"/>
        <w:rPr>
          <w:rFonts w:ascii="Arial" w:eastAsia="Times New Roman" w:hAnsi="Arial" w:cs="Arial"/>
          <w:b/>
          <w:bCs/>
          <w:sz w:val="24"/>
          <w:szCs w:val="24"/>
        </w:rPr>
      </w:pPr>
      <w:r w:rsidRPr="00A3443F">
        <w:rPr>
          <w:rFonts w:ascii="Arial" w:eastAsia="Times New Roman" w:hAnsi="Arial" w:cs="Arial"/>
          <w:b/>
          <w:bCs/>
          <w:sz w:val="24"/>
          <w:szCs w:val="24"/>
        </w:rPr>
        <w:t>Economics</w:t>
      </w:r>
    </w:p>
    <w:p w14:paraId="7E3B4A32" w14:textId="77777777" w:rsidR="009C2E70" w:rsidRPr="00A3443F" w:rsidRDefault="009C2E70" w:rsidP="00A3443F">
      <w:pPr>
        <w:pStyle w:val="Default"/>
        <w:numPr>
          <w:ilvl w:val="0"/>
          <w:numId w:val="11"/>
        </w:numPr>
        <w:spacing w:after="120"/>
        <w:ind w:left="360"/>
        <w:rPr>
          <w:rFonts w:ascii="Arial" w:eastAsia="Times New Roman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What economic analysis should be utilised for ensuring the public’s health is fully considered in trade and investment agreements?</w:t>
      </w:r>
    </w:p>
    <w:p w14:paraId="2A8273B8" w14:textId="17EB49BE" w:rsidR="009C2E70" w:rsidRPr="00A3443F" w:rsidRDefault="009C2E70" w:rsidP="009C2E70">
      <w:pPr>
        <w:pStyle w:val="Default"/>
        <w:spacing w:after="60"/>
        <w:rPr>
          <w:rFonts w:ascii="Arial" w:eastAsia="Times New Roman" w:hAnsi="Arial" w:cs="Arial"/>
          <w:b/>
          <w:bCs/>
          <w:sz w:val="24"/>
          <w:szCs w:val="24"/>
        </w:rPr>
      </w:pPr>
      <w:r w:rsidRPr="00A3443F">
        <w:rPr>
          <w:rFonts w:ascii="Arial" w:eastAsia="Times New Roman" w:hAnsi="Arial" w:cs="Arial"/>
          <w:b/>
          <w:bCs/>
          <w:sz w:val="24"/>
          <w:szCs w:val="24"/>
        </w:rPr>
        <w:t>Trade</w:t>
      </w:r>
    </w:p>
    <w:p w14:paraId="0F1CEDF2" w14:textId="77777777" w:rsidR="009C2E70" w:rsidRPr="00A3443F" w:rsidRDefault="009C2E70" w:rsidP="00A3443F">
      <w:pPr>
        <w:pStyle w:val="Default"/>
        <w:numPr>
          <w:ilvl w:val="0"/>
          <w:numId w:val="11"/>
        </w:numPr>
        <w:spacing w:after="60"/>
        <w:ind w:left="360"/>
        <w:rPr>
          <w:rFonts w:ascii="Arial" w:eastAsia="Times New Roman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What are the barriers and facilitators for incorporating health into trade and investment agreements?</w:t>
      </w:r>
    </w:p>
    <w:p w14:paraId="1B79D50C" w14:textId="77777777" w:rsidR="009C2E70" w:rsidRPr="00A3443F" w:rsidRDefault="009C2E70" w:rsidP="00A3443F">
      <w:pPr>
        <w:pStyle w:val="Default"/>
        <w:numPr>
          <w:ilvl w:val="0"/>
          <w:numId w:val="11"/>
        </w:numPr>
        <w:spacing w:after="120"/>
        <w:ind w:left="360"/>
        <w:rPr>
          <w:rFonts w:ascii="Arial" w:eastAsia="Times New Roman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How can health impact assessments be incorporated into the formulation of trade and investment agreements and mechanisms?</w:t>
      </w:r>
    </w:p>
    <w:p w14:paraId="4F1B396B" w14:textId="22C9B572" w:rsidR="009C2E70" w:rsidRPr="00A3443F" w:rsidRDefault="009C2E70" w:rsidP="009C2E70">
      <w:pPr>
        <w:pStyle w:val="Default"/>
        <w:spacing w:after="60"/>
        <w:rPr>
          <w:rFonts w:ascii="Arial" w:eastAsia="Times New Roman" w:hAnsi="Arial" w:cs="Arial"/>
          <w:b/>
          <w:bCs/>
          <w:sz w:val="24"/>
          <w:szCs w:val="24"/>
        </w:rPr>
      </w:pPr>
      <w:r w:rsidRPr="00A3443F">
        <w:rPr>
          <w:rFonts w:ascii="Arial" w:eastAsia="Times New Roman" w:hAnsi="Arial" w:cs="Arial"/>
          <w:b/>
          <w:bCs/>
          <w:sz w:val="24"/>
          <w:szCs w:val="24"/>
        </w:rPr>
        <w:t>Sustainable prosperity</w:t>
      </w:r>
    </w:p>
    <w:p w14:paraId="5E29A3BF" w14:textId="5D6CE2BD" w:rsidR="009C2E70" w:rsidRPr="00482FE5" w:rsidRDefault="009C2E70" w:rsidP="00A3443F">
      <w:pPr>
        <w:pStyle w:val="Default"/>
        <w:numPr>
          <w:ilvl w:val="0"/>
          <w:numId w:val="12"/>
        </w:numPr>
        <w:spacing w:after="120"/>
        <w:ind w:left="360"/>
        <w:rPr>
          <w:rFonts w:ascii="Arial" w:eastAsia="Times New Roman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How can trade and health be incorporated as part of the sustainable prosperity agenda?</w:t>
      </w:r>
    </w:p>
    <w:p w14:paraId="354341DB" w14:textId="77777777" w:rsidR="00482FE5" w:rsidRPr="00A3443F" w:rsidRDefault="00482FE5" w:rsidP="00482FE5">
      <w:pPr>
        <w:pStyle w:val="Default"/>
        <w:spacing w:after="120"/>
        <w:ind w:left="360"/>
        <w:rPr>
          <w:rFonts w:ascii="Arial" w:eastAsia="Times New Roman" w:hAnsi="Arial" w:cs="Arial"/>
          <w:sz w:val="24"/>
          <w:szCs w:val="24"/>
        </w:rPr>
      </w:pPr>
    </w:p>
    <w:p w14:paraId="082EDC86" w14:textId="382799B7" w:rsidR="009C2E70" w:rsidRPr="00A3443F" w:rsidRDefault="009C2E70" w:rsidP="009C2E70">
      <w:pPr>
        <w:pStyle w:val="Default"/>
        <w:spacing w:after="60"/>
        <w:rPr>
          <w:rFonts w:ascii="Arial" w:eastAsia="Times New Roman" w:hAnsi="Arial" w:cs="Arial"/>
          <w:b/>
          <w:bCs/>
          <w:sz w:val="24"/>
          <w:szCs w:val="24"/>
        </w:rPr>
      </w:pPr>
      <w:r w:rsidRPr="00A3443F">
        <w:rPr>
          <w:rFonts w:ascii="Arial" w:eastAsia="Times New Roman" w:hAnsi="Arial" w:cs="Arial"/>
          <w:b/>
          <w:bCs/>
          <w:sz w:val="24"/>
          <w:szCs w:val="24"/>
        </w:rPr>
        <w:lastRenderedPageBreak/>
        <w:t>Legal</w:t>
      </w:r>
    </w:p>
    <w:p w14:paraId="6240DCE4" w14:textId="4FCBC5CC" w:rsidR="009C2E70" w:rsidRPr="00A3443F" w:rsidRDefault="009C2E70" w:rsidP="00A3443F">
      <w:pPr>
        <w:pStyle w:val="Default"/>
        <w:numPr>
          <w:ilvl w:val="0"/>
          <w:numId w:val="12"/>
        </w:numPr>
        <w:spacing w:after="60"/>
        <w:ind w:left="360"/>
        <w:rPr>
          <w:rFonts w:ascii="Arial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Do human and social rights affect the promotion of health in trade and health agreements and mechanisms</w:t>
      </w:r>
    </w:p>
    <w:p w14:paraId="7EEE8072" w14:textId="77777777" w:rsidR="009C2E70" w:rsidRPr="00A3443F" w:rsidRDefault="009C2E70" w:rsidP="00A3443F">
      <w:pPr>
        <w:pStyle w:val="Default"/>
        <w:numPr>
          <w:ilvl w:val="0"/>
          <w:numId w:val="12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What are the main legal principles and provisions in trade and investment agreements used to protect public health and specifically for NCD prevention?</w:t>
      </w:r>
    </w:p>
    <w:p w14:paraId="6B8BC293" w14:textId="170C5E2B" w:rsidR="009C2E70" w:rsidRPr="00A3443F" w:rsidRDefault="009C2E70" w:rsidP="009C2E70">
      <w:pPr>
        <w:pStyle w:val="Default"/>
        <w:spacing w:after="60"/>
        <w:rPr>
          <w:rFonts w:ascii="Arial" w:eastAsia="Times New Roman" w:hAnsi="Arial" w:cs="Arial"/>
          <w:b/>
          <w:bCs/>
          <w:sz w:val="24"/>
          <w:szCs w:val="24"/>
        </w:rPr>
      </w:pPr>
      <w:r w:rsidRPr="00A3443F">
        <w:rPr>
          <w:rFonts w:ascii="Arial" w:eastAsia="Times New Roman" w:hAnsi="Arial" w:cs="Arial"/>
          <w:b/>
          <w:bCs/>
          <w:sz w:val="24"/>
          <w:szCs w:val="24"/>
        </w:rPr>
        <w:t>COVID-19</w:t>
      </w:r>
    </w:p>
    <w:p w14:paraId="77B74F38" w14:textId="77777777" w:rsidR="009C2E70" w:rsidRPr="00A3443F" w:rsidRDefault="009C2E70" w:rsidP="00A3443F">
      <w:pPr>
        <w:pStyle w:val="Default"/>
        <w:numPr>
          <w:ilvl w:val="0"/>
          <w:numId w:val="13"/>
        </w:numPr>
        <w:spacing w:after="120"/>
        <w:ind w:left="360"/>
        <w:rPr>
          <w:rFonts w:ascii="Arial" w:eastAsia="Times New Roman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How might Covid-19/pandemic preparations and recovery affect future trade and investment agreements especially from the perspective of the prevention of NCDs?</w:t>
      </w:r>
    </w:p>
    <w:p w14:paraId="5454B303" w14:textId="77777777" w:rsidR="009C2E70" w:rsidRPr="00A3443F" w:rsidRDefault="009C2E70" w:rsidP="009C2E70">
      <w:pPr>
        <w:pStyle w:val="Default"/>
        <w:spacing w:after="60"/>
        <w:rPr>
          <w:rFonts w:ascii="Arial" w:eastAsia="Times New Roman" w:hAnsi="Arial" w:cs="Arial"/>
          <w:sz w:val="24"/>
          <w:szCs w:val="24"/>
        </w:rPr>
      </w:pPr>
      <w:r w:rsidRPr="00A3443F">
        <w:rPr>
          <w:rFonts w:ascii="Arial" w:eastAsia="Times New Roman" w:hAnsi="Arial" w:cs="Arial"/>
          <w:b/>
          <w:bCs/>
          <w:sz w:val="24"/>
          <w:szCs w:val="24"/>
        </w:rPr>
        <w:t>International</w:t>
      </w:r>
      <w:r w:rsidRPr="00A3443F">
        <w:rPr>
          <w:rFonts w:ascii="Arial" w:hAnsi="Arial" w:cs="Arial"/>
          <w:sz w:val="24"/>
          <w:szCs w:val="24"/>
        </w:rPr>
        <w:t xml:space="preserve"> </w:t>
      </w:r>
    </w:p>
    <w:p w14:paraId="4FE51E59" w14:textId="2FB52B8E" w:rsidR="009C2E70" w:rsidRPr="00A3443F" w:rsidRDefault="009C2E70" w:rsidP="00A3443F">
      <w:pPr>
        <w:pStyle w:val="Default"/>
        <w:numPr>
          <w:ilvl w:val="0"/>
          <w:numId w:val="13"/>
        </w:numPr>
        <w:spacing w:after="60"/>
        <w:ind w:left="360"/>
        <w:rPr>
          <w:rFonts w:ascii="Arial" w:eastAsia="Times New Roman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What are the lessons from international experience on trade and health in specific countries and trading block areas?</w:t>
      </w:r>
    </w:p>
    <w:p w14:paraId="05319240" w14:textId="77777777" w:rsidR="009C2E70" w:rsidRPr="00A3443F" w:rsidRDefault="009C2E70" w:rsidP="00A3443F">
      <w:pPr>
        <w:pStyle w:val="Default"/>
        <w:numPr>
          <w:ilvl w:val="0"/>
          <w:numId w:val="13"/>
        </w:numPr>
        <w:spacing w:after="120"/>
        <w:ind w:left="360"/>
        <w:rPr>
          <w:rFonts w:ascii="Arial" w:eastAsia="Times New Roman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What can be learnt from other countries who have addressed the links between trade and health in other areas such as environmental protection, sustainable development and tobacco control (FCTC etc)?</w:t>
      </w:r>
    </w:p>
    <w:p w14:paraId="68627AE3" w14:textId="77777777" w:rsidR="00A3443F" w:rsidRDefault="00A3443F" w:rsidP="00A3443F">
      <w:pPr>
        <w:pStyle w:val="Default"/>
        <w:spacing w:after="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Public opinion</w:t>
      </w:r>
    </w:p>
    <w:p w14:paraId="6EFF5F77" w14:textId="666268FC" w:rsidR="00A3443F" w:rsidRPr="00A3443F" w:rsidRDefault="000C0C78" w:rsidP="00A3443F">
      <w:pPr>
        <w:pStyle w:val="Default"/>
        <w:numPr>
          <w:ilvl w:val="0"/>
          <w:numId w:val="15"/>
        </w:numPr>
        <w:spacing w:after="60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What are the public</w:t>
      </w:r>
      <w:r w:rsidRPr="00A3443F">
        <w:rPr>
          <w:rFonts w:ascii="Arial" w:hAnsi="Arial" w:cs="Arial"/>
          <w:sz w:val="24"/>
          <w:szCs w:val="24"/>
          <w:rtl/>
        </w:rPr>
        <w:t>’</w:t>
      </w:r>
      <w:r w:rsidRPr="00A3443F">
        <w:rPr>
          <w:rFonts w:ascii="Arial" w:hAnsi="Arial" w:cs="Arial"/>
          <w:sz w:val="24"/>
          <w:szCs w:val="24"/>
        </w:rPr>
        <w:t>s views on protecting and promoting health through trade and investment agreements?</w:t>
      </w:r>
      <w:r w:rsidR="00A3443F" w:rsidRPr="00A3443F">
        <w:rPr>
          <w:rFonts w:ascii="Arial" w:hAnsi="Arial" w:cs="Arial"/>
          <w:sz w:val="24"/>
          <w:szCs w:val="24"/>
        </w:rPr>
        <w:t xml:space="preserve"> </w:t>
      </w:r>
    </w:p>
    <w:p w14:paraId="0B7BD13D" w14:textId="738C78B3" w:rsidR="00A3443F" w:rsidRPr="00A3443F" w:rsidRDefault="00A3443F" w:rsidP="00A3443F">
      <w:pPr>
        <w:pStyle w:val="Default"/>
        <w:numPr>
          <w:ilvl w:val="0"/>
          <w:numId w:val="15"/>
        </w:numPr>
        <w:spacing w:after="80"/>
        <w:ind w:left="360"/>
        <w:rPr>
          <w:rFonts w:ascii="Arial" w:eastAsia="Times New Roman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What general provisions should be made for promoting and protecting the publics</w:t>
      </w:r>
      <w:r w:rsidRPr="00A3443F">
        <w:rPr>
          <w:rFonts w:ascii="Arial" w:hAnsi="Arial" w:cs="Arial"/>
          <w:sz w:val="24"/>
          <w:szCs w:val="24"/>
          <w:rtl/>
        </w:rPr>
        <w:t xml:space="preserve">’ </w:t>
      </w:r>
      <w:r w:rsidRPr="00A3443F">
        <w:rPr>
          <w:rFonts w:ascii="Arial" w:hAnsi="Arial" w:cs="Arial"/>
          <w:sz w:val="24"/>
          <w:szCs w:val="24"/>
        </w:rPr>
        <w:t>health?</w:t>
      </w:r>
    </w:p>
    <w:p w14:paraId="216B6422" w14:textId="2816CC48" w:rsidR="000C0C78" w:rsidRPr="00A3443F" w:rsidRDefault="000C0C78" w:rsidP="00A3443F">
      <w:pPr>
        <w:pStyle w:val="Default"/>
        <w:spacing w:after="60"/>
        <w:ind w:left="360"/>
        <w:rPr>
          <w:rFonts w:ascii="Arial" w:eastAsia="Times New Roman" w:hAnsi="Arial" w:cs="Arial"/>
          <w:sz w:val="24"/>
          <w:szCs w:val="24"/>
        </w:rPr>
      </w:pPr>
    </w:p>
    <w:p w14:paraId="6B282600" w14:textId="78BE6324" w:rsidR="004D1E7C" w:rsidRPr="00A3443F" w:rsidRDefault="004D1E7C" w:rsidP="004D1E7C">
      <w:pPr>
        <w:spacing w:after="80"/>
        <w:rPr>
          <w:rFonts w:ascii="Arial" w:hAnsi="Arial" w:cs="Arial"/>
          <w:b/>
          <w:bCs/>
          <w:sz w:val="24"/>
          <w:szCs w:val="24"/>
        </w:rPr>
      </w:pPr>
      <w:r w:rsidRPr="00A3443F">
        <w:rPr>
          <w:rFonts w:ascii="Arial" w:hAnsi="Arial" w:cs="Arial"/>
          <w:b/>
          <w:bCs/>
          <w:sz w:val="24"/>
          <w:szCs w:val="24"/>
        </w:rPr>
        <w:t>Submission details:</w:t>
      </w:r>
    </w:p>
    <w:p w14:paraId="2579BD29" w14:textId="4B41DE42" w:rsidR="004D1E7C" w:rsidRPr="00A3443F" w:rsidRDefault="004D1E7C" w:rsidP="004D1E7C">
      <w:pPr>
        <w:spacing w:after="0"/>
        <w:rPr>
          <w:rFonts w:ascii="Arial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Submissions in the form of a Word document should:</w:t>
      </w:r>
    </w:p>
    <w:p w14:paraId="12DEC91A" w14:textId="14BC58CB" w:rsidR="004D1E7C" w:rsidRPr="00A3443F" w:rsidRDefault="009C2E70" w:rsidP="004D1E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 xml:space="preserve">be no more than </w:t>
      </w:r>
      <w:r w:rsidR="004D1E7C" w:rsidRPr="00A3443F">
        <w:rPr>
          <w:rFonts w:ascii="Arial" w:hAnsi="Arial" w:cs="Arial"/>
          <w:sz w:val="24"/>
          <w:szCs w:val="24"/>
        </w:rPr>
        <w:t xml:space="preserve">a maximum of 3000 words </w:t>
      </w:r>
    </w:p>
    <w:p w14:paraId="68950756" w14:textId="26A19679" w:rsidR="004D1E7C" w:rsidRPr="00A3443F" w:rsidRDefault="009C2E70" w:rsidP="004D1E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 xml:space="preserve">be in </w:t>
      </w:r>
      <w:r w:rsidR="000C0C78" w:rsidRPr="00A3443F">
        <w:rPr>
          <w:rFonts w:ascii="Arial" w:hAnsi="Arial" w:cs="Arial"/>
          <w:sz w:val="24"/>
          <w:szCs w:val="24"/>
        </w:rPr>
        <w:t>a minimum font size of 11pt Arial</w:t>
      </w:r>
    </w:p>
    <w:p w14:paraId="2A93FBDD" w14:textId="5997E654" w:rsidR="004D1E7C" w:rsidRPr="00A3443F" w:rsidRDefault="004D1E7C" w:rsidP="004D1E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include a summary</w:t>
      </w:r>
    </w:p>
    <w:p w14:paraId="5547C653" w14:textId="34B0E264" w:rsidR="004D1E7C" w:rsidRPr="00A3443F" w:rsidRDefault="009C2E70" w:rsidP="004D1E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 xml:space="preserve">be </w:t>
      </w:r>
      <w:r w:rsidR="004D1E7C" w:rsidRPr="00A3443F">
        <w:rPr>
          <w:rFonts w:ascii="Arial" w:hAnsi="Arial" w:cs="Arial"/>
          <w:sz w:val="24"/>
          <w:szCs w:val="24"/>
        </w:rPr>
        <w:t>well-structured with numbered paragraphs for ease of reference</w:t>
      </w:r>
    </w:p>
    <w:p w14:paraId="21336A3A" w14:textId="0254680E" w:rsidR="004D1E7C" w:rsidRPr="00A3443F" w:rsidRDefault="004D1E7C">
      <w:pPr>
        <w:rPr>
          <w:rFonts w:ascii="Arial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 xml:space="preserve">Send submissions to </w:t>
      </w:r>
      <w:hyperlink r:id="rId5" w:tgtFrame="_blank" w:history="1">
        <w:r w:rsidR="00482FE5" w:rsidRPr="00482FE5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h.lodge@chester.ac.uk</w:t>
        </w:r>
      </w:hyperlink>
      <w:r w:rsidRPr="00A3443F">
        <w:rPr>
          <w:rFonts w:ascii="Arial" w:hAnsi="Arial" w:cs="Arial"/>
          <w:sz w:val="24"/>
          <w:szCs w:val="24"/>
        </w:rPr>
        <w:t xml:space="preserve"> by </w:t>
      </w:r>
      <w:r w:rsidR="00482FE5" w:rsidRPr="00482FE5">
        <w:rPr>
          <w:rFonts w:ascii="Arial" w:hAnsi="Arial" w:cs="Arial"/>
          <w:b/>
          <w:bCs/>
          <w:i/>
          <w:iCs/>
          <w:sz w:val="24"/>
          <w:szCs w:val="24"/>
        </w:rPr>
        <w:t>31 July</w:t>
      </w:r>
      <w:r w:rsidRPr="00482FE5">
        <w:rPr>
          <w:rFonts w:ascii="Arial" w:hAnsi="Arial" w:cs="Arial"/>
          <w:b/>
          <w:bCs/>
          <w:i/>
          <w:iCs/>
          <w:sz w:val="24"/>
          <w:szCs w:val="24"/>
        </w:rPr>
        <w:t xml:space="preserve"> 2020</w:t>
      </w:r>
      <w:r w:rsidRPr="00A3443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B3A9BAC" w14:textId="55207652" w:rsidR="00CA529E" w:rsidRDefault="00CA529E">
      <w:pPr>
        <w:rPr>
          <w:rFonts w:ascii="Arial" w:hAnsi="Arial" w:cs="Arial"/>
          <w:sz w:val="24"/>
          <w:szCs w:val="24"/>
        </w:rPr>
      </w:pPr>
      <w:r w:rsidRPr="00A3443F">
        <w:rPr>
          <w:rFonts w:ascii="Arial" w:hAnsi="Arial" w:cs="Arial"/>
          <w:sz w:val="24"/>
          <w:szCs w:val="24"/>
        </w:rPr>
        <w:t>We look forward to hearing from you</w:t>
      </w:r>
      <w:r w:rsidR="00A3443F">
        <w:rPr>
          <w:rFonts w:ascii="Arial" w:hAnsi="Arial" w:cs="Arial"/>
          <w:sz w:val="24"/>
          <w:szCs w:val="24"/>
        </w:rPr>
        <w:t xml:space="preserve"> and thank you for your help</w:t>
      </w:r>
      <w:r w:rsidRPr="00A3443F">
        <w:rPr>
          <w:rFonts w:ascii="Arial" w:hAnsi="Arial" w:cs="Arial"/>
          <w:sz w:val="24"/>
          <w:szCs w:val="24"/>
        </w:rPr>
        <w:t xml:space="preserve">. </w:t>
      </w:r>
    </w:p>
    <w:p w14:paraId="596819E7" w14:textId="66C38D70" w:rsidR="005A6CB2" w:rsidRDefault="005A6CB2">
      <w:pPr>
        <w:rPr>
          <w:rFonts w:ascii="Arial" w:hAnsi="Arial" w:cs="Arial"/>
          <w:sz w:val="24"/>
          <w:szCs w:val="24"/>
        </w:rPr>
      </w:pPr>
    </w:p>
    <w:p w14:paraId="7715FDB1" w14:textId="21B260BF" w:rsidR="005A6CB2" w:rsidRDefault="005A6CB2">
      <w:pPr>
        <w:rPr>
          <w:rFonts w:ascii="Arial" w:hAnsi="Arial" w:cs="Arial"/>
          <w:sz w:val="24"/>
          <w:szCs w:val="24"/>
        </w:rPr>
      </w:pPr>
    </w:p>
    <w:p w14:paraId="53363329" w14:textId="61559970" w:rsidR="005A6CB2" w:rsidRDefault="005A6CB2">
      <w:pPr>
        <w:rPr>
          <w:rFonts w:ascii="Arial" w:hAnsi="Arial" w:cs="Arial"/>
          <w:sz w:val="24"/>
          <w:szCs w:val="24"/>
        </w:rPr>
      </w:pPr>
    </w:p>
    <w:p w14:paraId="2BEC4CF5" w14:textId="235122BB" w:rsidR="005A6CB2" w:rsidRDefault="005A6CB2">
      <w:pPr>
        <w:rPr>
          <w:rFonts w:ascii="Arial" w:hAnsi="Arial" w:cs="Arial"/>
          <w:sz w:val="24"/>
          <w:szCs w:val="24"/>
        </w:rPr>
      </w:pPr>
    </w:p>
    <w:p w14:paraId="7AAE1D99" w14:textId="53EA2646" w:rsidR="005A6CB2" w:rsidRPr="00A3443F" w:rsidRDefault="005A6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2020</w:t>
      </w:r>
    </w:p>
    <w:sectPr w:rsidR="005A6CB2" w:rsidRPr="00A3443F" w:rsidSect="00A3443F">
      <w:pgSz w:w="11906" w:h="16838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22A"/>
    <w:multiLevelType w:val="hybridMultilevel"/>
    <w:tmpl w:val="A8F4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6020"/>
    <w:multiLevelType w:val="hybridMultilevel"/>
    <w:tmpl w:val="F060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85412"/>
    <w:multiLevelType w:val="hybridMultilevel"/>
    <w:tmpl w:val="6140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7146"/>
    <w:multiLevelType w:val="hybridMultilevel"/>
    <w:tmpl w:val="73169168"/>
    <w:lvl w:ilvl="0" w:tplc="B9F43B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6687"/>
    <w:multiLevelType w:val="hybridMultilevel"/>
    <w:tmpl w:val="8446EC76"/>
    <w:lvl w:ilvl="0" w:tplc="2A38F4E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56853"/>
    <w:multiLevelType w:val="hybridMultilevel"/>
    <w:tmpl w:val="F8B4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40DD1"/>
    <w:multiLevelType w:val="hybridMultilevel"/>
    <w:tmpl w:val="78F8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B2ECF"/>
    <w:multiLevelType w:val="hybridMultilevel"/>
    <w:tmpl w:val="74A42900"/>
    <w:lvl w:ilvl="0" w:tplc="57163C3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912C6"/>
    <w:multiLevelType w:val="hybridMultilevel"/>
    <w:tmpl w:val="2BC45F02"/>
    <w:lvl w:ilvl="0" w:tplc="C72C9B5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628E"/>
    <w:multiLevelType w:val="hybridMultilevel"/>
    <w:tmpl w:val="2BC45F02"/>
    <w:lvl w:ilvl="0" w:tplc="C72C9B5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24C2B"/>
    <w:multiLevelType w:val="hybridMultilevel"/>
    <w:tmpl w:val="B1883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742B4"/>
    <w:multiLevelType w:val="hybridMultilevel"/>
    <w:tmpl w:val="7D3A97C8"/>
    <w:lvl w:ilvl="0" w:tplc="C72C9B5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042D7"/>
    <w:multiLevelType w:val="hybridMultilevel"/>
    <w:tmpl w:val="B3540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D0A91"/>
    <w:multiLevelType w:val="hybridMultilevel"/>
    <w:tmpl w:val="2BC45F02"/>
    <w:lvl w:ilvl="0" w:tplc="C72C9B5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4157B"/>
    <w:multiLevelType w:val="hybridMultilevel"/>
    <w:tmpl w:val="42148DEC"/>
    <w:lvl w:ilvl="0" w:tplc="F7DEA2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3"/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7C"/>
    <w:rsid w:val="00001AF9"/>
    <w:rsid w:val="000551C0"/>
    <w:rsid w:val="000C0C78"/>
    <w:rsid w:val="00256F89"/>
    <w:rsid w:val="00482FE5"/>
    <w:rsid w:val="004D1E7C"/>
    <w:rsid w:val="005A6CB2"/>
    <w:rsid w:val="00895C2D"/>
    <w:rsid w:val="009C2E70"/>
    <w:rsid w:val="00A17D76"/>
    <w:rsid w:val="00A3443F"/>
    <w:rsid w:val="00CA529E"/>
    <w:rsid w:val="00E0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E959"/>
  <w15:chartTrackingRefBased/>
  <w15:docId w15:val="{84ABBD13-75DA-4AF4-A8EE-E2122DE3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E7C"/>
    <w:rPr>
      <w:color w:val="605E5C"/>
      <w:shd w:val="clear" w:color="auto" w:fill="E1DFDD"/>
    </w:rPr>
  </w:style>
  <w:style w:type="paragraph" w:customStyle="1" w:styleId="Default">
    <w:name w:val="Default"/>
    <w:rsid w:val="000C0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lodge@che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2020-03-24T14:21:00Z</dcterms:created>
  <dcterms:modified xsi:type="dcterms:W3CDTF">2020-05-29T11:49:00Z</dcterms:modified>
</cp:coreProperties>
</file>