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47" w:rsidRDefault="004543F9" w:rsidP="004543F9">
      <w:pPr>
        <w:jc w:val="center"/>
        <w:rPr>
          <w:b/>
          <w:sz w:val="24"/>
          <w:szCs w:val="24"/>
        </w:rPr>
      </w:pPr>
      <w:r>
        <w:rPr>
          <w:b/>
          <w:sz w:val="24"/>
          <w:szCs w:val="24"/>
        </w:rPr>
        <w:t>BRIEFING PAPER</w:t>
      </w:r>
    </w:p>
    <w:p w:rsidR="004543F9" w:rsidRDefault="004543F9" w:rsidP="004543F9">
      <w:pPr>
        <w:jc w:val="center"/>
        <w:rPr>
          <w:b/>
          <w:sz w:val="24"/>
          <w:szCs w:val="24"/>
        </w:rPr>
      </w:pPr>
      <w:r>
        <w:rPr>
          <w:b/>
          <w:sz w:val="24"/>
          <w:szCs w:val="24"/>
        </w:rPr>
        <w:t>CHALLENGES CONFRONTING PETRA</w:t>
      </w:r>
    </w:p>
    <w:p w:rsidR="004543F9" w:rsidRDefault="004543F9" w:rsidP="004543F9">
      <w:pPr>
        <w:jc w:val="center"/>
        <w:rPr>
          <w:b/>
          <w:sz w:val="24"/>
          <w:szCs w:val="24"/>
        </w:rPr>
      </w:pPr>
    </w:p>
    <w:p w:rsidR="004543F9" w:rsidRDefault="004543F9" w:rsidP="004543F9">
      <w:pPr>
        <w:rPr>
          <w:b/>
          <w:sz w:val="24"/>
          <w:szCs w:val="24"/>
        </w:rPr>
      </w:pPr>
      <w:r>
        <w:rPr>
          <w:b/>
          <w:sz w:val="24"/>
          <w:szCs w:val="24"/>
        </w:rPr>
        <w:t xml:space="preserve">Introduction </w:t>
      </w:r>
    </w:p>
    <w:p w:rsidR="00E9764B" w:rsidRDefault="0008623F" w:rsidP="00365A67">
      <w:pPr>
        <w:pStyle w:val="ListParagraph"/>
        <w:numPr>
          <w:ilvl w:val="0"/>
          <w:numId w:val="1"/>
        </w:numPr>
        <w:ind w:left="284" w:hanging="284"/>
        <w:rPr>
          <w:sz w:val="24"/>
          <w:szCs w:val="24"/>
        </w:rPr>
      </w:pPr>
      <w:r w:rsidRPr="5E3CD0B0">
        <w:rPr>
          <w:sz w:val="24"/>
          <w:szCs w:val="24"/>
        </w:rPr>
        <w:t xml:space="preserve">PETRA has been tasked with producing a research </w:t>
      </w:r>
      <w:r w:rsidR="006F6567" w:rsidRPr="5E3CD0B0">
        <w:rPr>
          <w:sz w:val="24"/>
          <w:szCs w:val="24"/>
        </w:rPr>
        <w:t xml:space="preserve">and development </w:t>
      </w:r>
      <w:r w:rsidR="00377259">
        <w:rPr>
          <w:sz w:val="24"/>
          <w:szCs w:val="24"/>
        </w:rPr>
        <w:t xml:space="preserve">manifesto </w:t>
      </w:r>
      <w:r w:rsidR="006F6567" w:rsidRPr="5E3CD0B0">
        <w:rPr>
          <w:sz w:val="24"/>
          <w:szCs w:val="24"/>
        </w:rPr>
        <w:t xml:space="preserve">to explore how international trade can improve human health and prevent non-communicable diseases (NCDs).  The framework needs to identify both short and long-term research and development priorities that will be most critical and useful to informing policy users on the implications of future trade and investment agreements on the public's health and wellbeing.  As part of this mission, PETRA has </w:t>
      </w:r>
      <w:r w:rsidR="00B7196A" w:rsidRPr="5E3CD0B0">
        <w:rPr>
          <w:sz w:val="24"/>
          <w:szCs w:val="24"/>
        </w:rPr>
        <w:t xml:space="preserve">commissioned </w:t>
      </w:r>
      <w:r w:rsidR="008D2AF6" w:rsidRPr="5E3CD0B0">
        <w:rPr>
          <w:sz w:val="24"/>
          <w:szCs w:val="24"/>
        </w:rPr>
        <w:t>thirteen</w:t>
      </w:r>
      <w:r w:rsidR="00B7196A" w:rsidRPr="5E3CD0B0">
        <w:rPr>
          <w:sz w:val="24"/>
          <w:szCs w:val="24"/>
        </w:rPr>
        <w:t xml:space="preserve"> position papers</w:t>
      </w:r>
      <w:r w:rsidR="008D2AF6" w:rsidRPr="5E3CD0B0">
        <w:rPr>
          <w:sz w:val="24"/>
          <w:szCs w:val="24"/>
        </w:rPr>
        <w:t xml:space="preserve">, a series of on-line resources including webinars and videos as well as a two-part systematic literature review.  </w:t>
      </w:r>
      <w:r w:rsidR="00E9764B" w:rsidRPr="5E3CD0B0">
        <w:rPr>
          <w:sz w:val="24"/>
          <w:szCs w:val="24"/>
        </w:rPr>
        <w:t xml:space="preserve">With the purpose of furthering the development of </w:t>
      </w:r>
      <w:r w:rsidR="006F6567" w:rsidRPr="5E3CD0B0">
        <w:rPr>
          <w:sz w:val="24"/>
          <w:szCs w:val="24"/>
        </w:rPr>
        <w:t>the frame</w:t>
      </w:r>
      <w:r w:rsidR="00CB4A40" w:rsidRPr="5E3CD0B0">
        <w:rPr>
          <w:sz w:val="24"/>
          <w:szCs w:val="24"/>
        </w:rPr>
        <w:t>w</w:t>
      </w:r>
      <w:r w:rsidR="00E9764B" w:rsidRPr="5E3CD0B0">
        <w:rPr>
          <w:sz w:val="24"/>
          <w:szCs w:val="24"/>
        </w:rPr>
        <w:t>ork, PETRA organised a Sandpit Exercise in June 2021</w:t>
      </w:r>
      <w:r w:rsidR="00377259">
        <w:rPr>
          <w:rStyle w:val="EndnoteReference"/>
          <w:sz w:val="24"/>
          <w:szCs w:val="24"/>
        </w:rPr>
        <w:endnoteReference w:id="1"/>
      </w:r>
      <w:r w:rsidR="00E9764B" w:rsidRPr="5E3CD0B0">
        <w:rPr>
          <w:sz w:val="24"/>
          <w:szCs w:val="24"/>
        </w:rPr>
        <w:t xml:space="preserve">, attended by 47 participants from academia, </w:t>
      </w:r>
      <w:r w:rsidR="002F3733" w:rsidRPr="5E3CD0B0">
        <w:rPr>
          <w:sz w:val="24"/>
          <w:szCs w:val="24"/>
        </w:rPr>
        <w:t xml:space="preserve">the </w:t>
      </w:r>
      <w:r w:rsidR="00E9764B" w:rsidRPr="5E3CD0B0">
        <w:rPr>
          <w:sz w:val="24"/>
          <w:szCs w:val="24"/>
        </w:rPr>
        <w:t>policy</w:t>
      </w:r>
      <w:r w:rsidR="002F3733" w:rsidRPr="5E3CD0B0">
        <w:rPr>
          <w:sz w:val="24"/>
          <w:szCs w:val="24"/>
        </w:rPr>
        <w:t xml:space="preserve"> sector</w:t>
      </w:r>
      <w:r w:rsidR="00E9764B" w:rsidRPr="5E3CD0B0">
        <w:rPr>
          <w:sz w:val="24"/>
          <w:szCs w:val="24"/>
        </w:rPr>
        <w:t xml:space="preserve">, the </w:t>
      </w:r>
      <w:r w:rsidR="00AE271C" w:rsidRPr="5E3CD0B0">
        <w:rPr>
          <w:sz w:val="24"/>
          <w:szCs w:val="24"/>
        </w:rPr>
        <w:t>t</w:t>
      </w:r>
      <w:r w:rsidR="00E9764B" w:rsidRPr="5E3CD0B0">
        <w:rPr>
          <w:sz w:val="24"/>
          <w:szCs w:val="24"/>
        </w:rPr>
        <w:t xml:space="preserve">hird </w:t>
      </w:r>
      <w:r w:rsidR="00AE271C" w:rsidRPr="5E3CD0B0">
        <w:rPr>
          <w:sz w:val="24"/>
          <w:szCs w:val="24"/>
        </w:rPr>
        <w:t>s</w:t>
      </w:r>
      <w:r w:rsidR="00E9764B" w:rsidRPr="5E3CD0B0">
        <w:rPr>
          <w:sz w:val="24"/>
          <w:szCs w:val="24"/>
        </w:rPr>
        <w:t>ector and funding</w:t>
      </w:r>
      <w:r w:rsidR="002F3733" w:rsidRPr="5E3CD0B0">
        <w:rPr>
          <w:sz w:val="24"/>
          <w:szCs w:val="24"/>
        </w:rPr>
        <w:t xml:space="preserve"> bodies</w:t>
      </w:r>
      <w:r w:rsidR="00E9764B" w:rsidRPr="5E3CD0B0">
        <w:rPr>
          <w:sz w:val="24"/>
          <w:szCs w:val="24"/>
        </w:rPr>
        <w:t>.</w:t>
      </w:r>
    </w:p>
    <w:p w:rsidR="00E9764B" w:rsidRDefault="00E9764B" w:rsidP="00E9764B">
      <w:pPr>
        <w:pStyle w:val="ListParagraph"/>
        <w:ind w:left="284"/>
        <w:rPr>
          <w:sz w:val="24"/>
          <w:szCs w:val="24"/>
        </w:rPr>
      </w:pPr>
    </w:p>
    <w:p w:rsidR="00EE5007" w:rsidRDefault="00E9764B" w:rsidP="00365A67">
      <w:pPr>
        <w:pStyle w:val="ListParagraph"/>
        <w:numPr>
          <w:ilvl w:val="0"/>
          <w:numId w:val="1"/>
        </w:numPr>
        <w:ind w:left="284" w:hanging="284"/>
        <w:rPr>
          <w:sz w:val="24"/>
          <w:szCs w:val="24"/>
        </w:rPr>
      </w:pPr>
      <w:r w:rsidRPr="5E3CD0B0">
        <w:rPr>
          <w:sz w:val="24"/>
          <w:szCs w:val="24"/>
        </w:rPr>
        <w:t xml:space="preserve">This briefing paper explores the challenges for PETRA that </w:t>
      </w:r>
      <w:r w:rsidR="003B7D1B" w:rsidRPr="5E3CD0B0">
        <w:rPr>
          <w:sz w:val="24"/>
          <w:szCs w:val="24"/>
        </w:rPr>
        <w:t>have emerged</w:t>
      </w:r>
      <w:r w:rsidR="00867193" w:rsidRPr="5E3CD0B0">
        <w:rPr>
          <w:sz w:val="24"/>
          <w:szCs w:val="24"/>
        </w:rPr>
        <w:t xml:space="preserve"> </w:t>
      </w:r>
      <w:r w:rsidRPr="5E3CD0B0">
        <w:rPr>
          <w:sz w:val="24"/>
          <w:szCs w:val="24"/>
        </w:rPr>
        <w:t>in developing an R&amp;D framework as eviden</w:t>
      </w:r>
      <w:r w:rsidR="002F3733" w:rsidRPr="5E3CD0B0">
        <w:rPr>
          <w:sz w:val="24"/>
          <w:szCs w:val="24"/>
        </w:rPr>
        <w:t xml:space="preserve">ced </w:t>
      </w:r>
      <w:r w:rsidRPr="5E3CD0B0">
        <w:rPr>
          <w:sz w:val="24"/>
          <w:szCs w:val="24"/>
        </w:rPr>
        <w:t xml:space="preserve">in </w:t>
      </w:r>
      <w:r w:rsidR="002F3733" w:rsidRPr="5E3CD0B0">
        <w:rPr>
          <w:sz w:val="24"/>
          <w:szCs w:val="24"/>
        </w:rPr>
        <w:t>its</w:t>
      </w:r>
      <w:r w:rsidRPr="5E3CD0B0">
        <w:rPr>
          <w:sz w:val="24"/>
          <w:szCs w:val="24"/>
        </w:rPr>
        <w:t xml:space="preserve"> commissioned work to-date</w:t>
      </w:r>
      <w:r w:rsidR="00867193" w:rsidRPr="5E3CD0B0">
        <w:rPr>
          <w:sz w:val="24"/>
          <w:szCs w:val="24"/>
        </w:rPr>
        <w:t xml:space="preserve"> but also </w:t>
      </w:r>
      <w:r w:rsidR="003B7D1B" w:rsidRPr="5E3CD0B0">
        <w:rPr>
          <w:sz w:val="24"/>
          <w:szCs w:val="24"/>
        </w:rPr>
        <w:t xml:space="preserve">those that were perceived by participants </w:t>
      </w:r>
      <w:r w:rsidRPr="5E3CD0B0">
        <w:rPr>
          <w:sz w:val="24"/>
          <w:szCs w:val="24"/>
        </w:rPr>
        <w:t xml:space="preserve">during the Sandpit Exercise. </w:t>
      </w:r>
      <w:r w:rsidR="00E21F95" w:rsidRPr="5E3CD0B0">
        <w:rPr>
          <w:sz w:val="24"/>
          <w:szCs w:val="24"/>
        </w:rPr>
        <w:t xml:space="preserve"> </w:t>
      </w:r>
      <w:r w:rsidRPr="5E3CD0B0">
        <w:rPr>
          <w:sz w:val="24"/>
          <w:szCs w:val="24"/>
        </w:rPr>
        <w:t xml:space="preserve"> </w:t>
      </w:r>
      <w:r w:rsidR="00291556" w:rsidRPr="5E3CD0B0">
        <w:rPr>
          <w:sz w:val="24"/>
          <w:szCs w:val="24"/>
        </w:rPr>
        <w:t>C</w:t>
      </w:r>
      <w:r w:rsidR="00102E9A" w:rsidRPr="5E3CD0B0">
        <w:rPr>
          <w:sz w:val="24"/>
          <w:szCs w:val="24"/>
        </w:rPr>
        <w:t xml:space="preserve">entral to the PETRA mission </w:t>
      </w:r>
      <w:r w:rsidR="00291556" w:rsidRPr="5E3CD0B0">
        <w:rPr>
          <w:sz w:val="24"/>
          <w:szCs w:val="24"/>
        </w:rPr>
        <w:t xml:space="preserve">is to understand the </w:t>
      </w:r>
      <w:r w:rsidR="000A654B" w:rsidRPr="5E3CD0B0">
        <w:rPr>
          <w:sz w:val="24"/>
          <w:szCs w:val="24"/>
        </w:rPr>
        <w:t xml:space="preserve">interface </w:t>
      </w:r>
      <w:r w:rsidR="16FD5B7C" w:rsidRPr="5E3CD0B0">
        <w:rPr>
          <w:sz w:val="24"/>
          <w:szCs w:val="24"/>
        </w:rPr>
        <w:t xml:space="preserve">at </w:t>
      </w:r>
      <w:r w:rsidR="000A654B" w:rsidRPr="5E3CD0B0">
        <w:rPr>
          <w:sz w:val="24"/>
          <w:szCs w:val="24"/>
        </w:rPr>
        <w:t>the intersection</w:t>
      </w:r>
      <w:r w:rsidR="00A62277" w:rsidRPr="5E3CD0B0">
        <w:rPr>
          <w:sz w:val="24"/>
          <w:szCs w:val="24"/>
        </w:rPr>
        <w:t xml:space="preserve"> of trade and health but, more than that, it </w:t>
      </w:r>
      <w:r w:rsidR="7DD2948A" w:rsidRPr="5E3CD0B0">
        <w:rPr>
          <w:sz w:val="24"/>
          <w:szCs w:val="24"/>
        </w:rPr>
        <w:t xml:space="preserve">is </w:t>
      </w:r>
      <w:r w:rsidR="00A62277" w:rsidRPr="5E3CD0B0">
        <w:rPr>
          <w:sz w:val="24"/>
          <w:szCs w:val="24"/>
        </w:rPr>
        <w:t xml:space="preserve">to grasp where, at what point and in what way PETRA is able to </w:t>
      </w:r>
      <w:r w:rsidR="000A654B" w:rsidRPr="5E3CD0B0">
        <w:rPr>
          <w:sz w:val="24"/>
          <w:szCs w:val="24"/>
        </w:rPr>
        <w:t xml:space="preserve">be effective in raising the profile of health in trade deals, ensuring </w:t>
      </w:r>
      <w:r w:rsidR="00AE271C" w:rsidRPr="5E3CD0B0">
        <w:rPr>
          <w:sz w:val="24"/>
          <w:szCs w:val="24"/>
        </w:rPr>
        <w:t xml:space="preserve">health </w:t>
      </w:r>
      <w:r w:rsidR="000A654B" w:rsidRPr="5E3CD0B0">
        <w:rPr>
          <w:sz w:val="24"/>
          <w:szCs w:val="24"/>
        </w:rPr>
        <w:t xml:space="preserve">is an </w:t>
      </w:r>
      <w:r w:rsidR="005F94E2" w:rsidRPr="5E3CD0B0">
        <w:rPr>
          <w:sz w:val="24"/>
          <w:szCs w:val="24"/>
        </w:rPr>
        <w:t xml:space="preserve">active </w:t>
      </w:r>
      <w:r w:rsidR="000A654B" w:rsidRPr="5E3CD0B0">
        <w:rPr>
          <w:sz w:val="24"/>
          <w:szCs w:val="24"/>
        </w:rPr>
        <w:t xml:space="preserve">equal partner </w:t>
      </w:r>
      <w:r w:rsidR="004A6F80" w:rsidRPr="5E3CD0B0">
        <w:rPr>
          <w:sz w:val="24"/>
          <w:szCs w:val="24"/>
        </w:rPr>
        <w:t xml:space="preserve">at the negotiating table </w:t>
      </w:r>
      <w:r w:rsidR="000A654B" w:rsidRPr="5E3CD0B0">
        <w:rPr>
          <w:sz w:val="24"/>
          <w:szCs w:val="24"/>
        </w:rPr>
        <w:t>rather than a commodity to be trade</w:t>
      </w:r>
      <w:r w:rsidR="004A6F80" w:rsidRPr="5E3CD0B0">
        <w:rPr>
          <w:sz w:val="24"/>
          <w:szCs w:val="24"/>
        </w:rPr>
        <w:t>d</w:t>
      </w:r>
      <w:r w:rsidR="000A654B" w:rsidRPr="5E3CD0B0">
        <w:rPr>
          <w:sz w:val="24"/>
          <w:szCs w:val="24"/>
        </w:rPr>
        <w:t xml:space="preserve"> or </w:t>
      </w:r>
      <w:r w:rsidR="004A6F80" w:rsidRPr="5E3CD0B0">
        <w:rPr>
          <w:sz w:val="24"/>
          <w:szCs w:val="24"/>
        </w:rPr>
        <w:t xml:space="preserve">even as </w:t>
      </w:r>
      <w:r w:rsidR="000A654B" w:rsidRPr="5E3CD0B0">
        <w:rPr>
          <w:sz w:val="24"/>
          <w:szCs w:val="24"/>
        </w:rPr>
        <w:t xml:space="preserve">an exception.  </w:t>
      </w:r>
    </w:p>
    <w:p w:rsidR="00EE5007" w:rsidRDefault="00EE5007" w:rsidP="00EE5007">
      <w:pPr>
        <w:pStyle w:val="ListParagraph"/>
        <w:ind w:left="284"/>
        <w:rPr>
          <w:sz w:val="24"/>
          <w:szCs w:val="24"/>
        </w:rPr>
      </w:pPr>
    </w:p>
    <w:p w:rsidR="00D83FFE" w:rsidRPr="006B22E7" w:rsidRDefault="00DB2C6B" w:rsidP="5E3CD0B0">
      <w:pPr>
        <w:pStyle w:val="ListParagraph"/>
        <w:numPr>
          <w:ilvl w:val="0"/>
          <w:numId w:val="1"/>
        </w:numPr>
        <w:ind w:left="284" w:hanging="284"/>
        <w:rPr>
          <w:b/>
          <w:bCs/>
          <w:sz w:val="24"/>
          <w:szCs w:val="24"/>
        </w:rPr>
      </w:pPr>
      <w:r w:rsidRPr="5E3CD0B0">
        <w:rPr>
          <w:sz w:val="24"/>
          <w:szCs w:val="24"/>
        </w:rPr>
        <w:t xml:space="preserve">Despite </w:t>
      </w:r>
      <w:r w:rsidR="5B5FD876" w:rsidRPr="5E3CD0B0">
        <w:rPr>
          <w:sz w:val="24"/>
          <w:szCs w:val="24"/>
        </w:rPr>
        <w:t xml:space="preserve">its stated </w:t>
      </w:r>
      <w:r w:rsidRPr="5E3CD0B0">
        <w:rPr>
          <w:sz w:val="24"/>
          <w:szCs w:val="24"/>
        </w:rPr>
        <w:t xml:space="preserve"> mission, </w:t>
      </w:r>
      <w:r w:rsidR="005230F2" w:rsidRPr="5E3CD0B0">
        <w:rPr>
          <w:sz w:val="24"/>
          <w:szCs w:val="24"/>
        </w:rPr>
        <w:t xml:space="preserve"> it was evident </w:t>
      </w:r>
      <w:r w:rsidR="00E21F95" w:rsidRPr="5E3CD0B0">
        <w:rPr>
          <w:sz w:val="24"/>
          <w:szCs w:val="24"/>
        </w:rPr>
        <w:t xml:space="preserve">from discussions </w:t>
      </w:r>
      <w:r w:rsidR="005230F2" w:rsidRPr="5E3CD0B0">
        <w:rPr>
          <w:sz w:val="24"/>
          <w:szCs w:val="24"/>
        </w:rPr>
        <w:t xml:space="preserve">that there was a lack of </w:t>
      </w:r>
      <w:r w:rsidR="00E21F95" w:rsidRPr="5E3CD0B0">
        <w:rPr>
          <w:sz w:val="24"/>
          <w:szCs w:val="24"/>
        </w:rPr>
        <w:t>clarity on the part of Sandpit p</w:t>
      </w:r>
      <w:r w:rsidR="005230F2" w:rsidRPr="5E3CD0B0">
        <w:rPr>
          <w:sz w:val="24"/>
          <w:szCs w:val="24"/>
        </w:rPr>
        <w:t xml:space="preserve">articipants as to </w:t>
      </w:r>
      <w:r w:rsidR="00E21F95" w:rsidRPr="5E3CD0B0">
        <w:rPr>
          <w:sz w:val="24"/>
          <w:szCs w:val="24"/>
        </w:rPr>
        <w:t xml:space="preserve">the </w:t>
      </w:r>
      <w:r w:rsidR="002F3733" w:rsidRPr="5E3CD0B0">
        <w:rPr>
          <w:sz w:val="24"/>
          <w:szCs w:val="24"/>
        </w:rPr>
        <w:t xml:space="preserve">extent and </w:t>
      </w:r>
      <w:r w:rsidR="00E21F95" w:rsidRPr="5E3CD0B0">
        <w:rPr>
          <w:sz w:val="24"/>
          <w:szCs w:val="24"/>
        </w:rPr>
        <w:t xml:space="preserve">limitations of the remit of PETRA </w:t>
      </w:r>
      <w:r w:rsidR="00727C87" w:rsidRPr="5E3CD0B0">
        <w:rPr>
          <w:sz w:val="24"/>
          <w:szCs w:val="24"/>
        </w:rPr>
        <w:t xml:space="preserve">and </w:t>
      </w:r>
      <w:r w:rsidR="00E21F95" w:rsidRPr="5E3CD0B0">
        <w:rPr>
          <w:sz w:val="24"/>
          <w:szCs w:val="24"/>
        </w:rPr>
        <w:t>the demarcation lines between what it might</w:t>
      </w:r>
      <w:r w:rsidR="001B7497" w:rsidRPr="5E3CD0B0">
        <w:rPr>
          <w:sz w:val="24"/>
          <w:szCs w:val="24"/>
        </w:rPr>
        <w:t xml:space="preserve"> </w:t>
      </w:r>
      <w:r w:rsidR="7FD0A74F" w:rsidRPr="5E3CD0B0">
        <w:rPr>
          <w:sz w:val="24"/>
          <w:szCs w:val="24"/>
        </w:rPr>
        <w:t>be able</w:t>
      </w:r>
      <w:r w:rsidR="00CC3466" w:rsidRPr="5E3CD0B0">
        <w:rPr>
          <w:sz w:val="24"/>
          <w:szCs w:val="24"/>
        </w:rPr>
        <w:t xml:space="preserve"> to</w:t>
      </w:r>
      <w:r w:rsidR="7FD0A74F" w:rsidRPr="5E3CD0B0">
        <w:rPr>
          <w:sz w:val="24"/>
          <w:szCs w:val="24"/>
        </w:rPr>
        <w:t xml:space="preserve">, </w:t>
      </w:r>
      <w:r w:rsidR="001B7497" w:rsidRPr="5E3CD0B0">
        <w:rPr>
          <w:sz w:val="24"/>
          <w:szCs w:val="24"/>
        </w:rPr>
        <w:t>or could</w:t>
      </w:r>
      <w:r w:rsidR="4092954B" w:rsidRPr="5E3CD0B0">
        <w:rPr>
          <w:sz w:val="24"/>
          <w:szCs w:val="24"/>
        </w:rPr>
        <w:t>,</w:t>
      </w:r>
      <w:r w:rsidR="001B7497" w:rsidRPr="5E3CD0B0">
        <w:rPr>
          <w:sz w:val="24"/>
          <w:szCs w:val="24"/>
        </w:rPr>
        <w:t xml:space="preserve"> </w:t>
      </w:r>
      <w:r w:rsidR="00E21F95" w:rsidRPr="5E3CD0B0">
        <w:rPr>
          <w:sz w:val="24"/>
          <w:szCs w:val="24"/>
        </w:rPr>
        <w:t>do.</w:t>
      </w:r>
      <w:r w:rsidR="00EE5007" w:rsidRPr="5E3CD0B0">
        <w:rPr>
          <w:sz w:val="24"/>
          <w:szCs w:val="24"/>
        </w:rPr>
        <w:t xml:space="preserve"> </w:t>
      </w:r>
      <w:r w:rsidR="00137956" w:rsidRPr="5E3CD0B0">
        <w:rPr>
          <w:sz w:val="24"/>
          <w:szCs w:val="24"/>
        </w:rPr>
        <w:t xml:space="preserve">In part, this </w:t>
      </w:r>
      <w:r w:rsidRPr="5E3CD0B0">
        <w:rPr>
          <w:sz w:val="24"/>
          <w:szCs w:val="24"/>
        </w:rPr>
        <w:t>seemed due to</w:t>
      </w:r>
      <w:r w:rsidR="00EE5007" w:rsidRPr="5E3CD0B0">
        <w:rPr>
          <w:sz w:val="24"/>
          <w:szCs w:val="24"/>
        </w:rPr>
        <w:t xml:space="preserve"> the </w:t>
      </w:r>
      <w:r w:rsidR="4934798E" w:rsidRPr="5E3CD0B0">
        <w:rPr>
          <w:sz w:val="24"/>
          <w:szCs w:val="24"/>
        </w:rPr>
        <w:t xml:space="preserve">composition </w:t>
      </w:r>
      <w:r w:rsidR="00137956" w:rsidRPr="5E3CD0B0">
        <w:rPr>
          <w:sz w:val="24"/>
          <w:szCs w:val="24"/>
        </w:rPr>
        <w:t xml:space="preserve">of the Sandpit attendees and </w:t>
      </w:r>
      <w:r w:rsidR="003E713D" w:rsidRPr="5E3CD0B0">
        <w:rPr>
          <w:sz w:val="24"/>
          <w:szCs w:val="24"/>
        </w:rPr>
        <w:t xml:space="preserve">the </w:t>
      </w:r>
      <w:r w:rsidR="00EE5007" w:rsidRPr="5E3CD0B0">
        <w:rPr>
          <w:sz w:val="24"/>
          <w:szCs w:val="24"/>
        </w:rPr>
        <w:t xml:space="preserve">broad spectrum of </w:t>
      </w:r>
      <w:r w:rsidR="00E31D53" w:rsidRPr="5E3CD0B0">
        <w:rPr>
          <w:sz w:val="24"/>
          <w:szCs w:val="24"/>
        </w:rPr>
        <w:t xml:space="preserve">perspectives, </w:t>
      </w:r>
      <w:r w:rsidR="00EE5007" w:rsidRPr="5E3CD0B0">
        <w:rPr>
          <w:sz w:val="24"/>
          <w:szCs w:val="24"/>
        </w:rPr>
        <w:t>knowledge and experience of trade and health present</w:t>
      </w:r>
      <w:r w:rsidR="00187024" w:rsidRPr="5E3CD0B0">
        <w:rPr>
          <w:sz w:val="24"/>
          <w:szCs w:val="24"/>
        </w:rPr>
        <w:t xml:space="preserve">.  </w:t>
      </w:r>
      <w:r w:rsidR="00137956" w:rsidRPr="5E3CD0B0">
        <w:rPr>
          <w:sz w:val="24"/>
          <w:szCs w:val="24"/>
        </w:rPr>
        <w:t>Within this context</w:t>
      </w:r>
      <w:r w:rsidR="001B7497" w:rsidRPr="5E3CD0B0">
        <w:rPr>
          <w:sz w:val="24"/>
          <w:szCs w:val="24"/>
        </w:rPr>
        <w:t xml:space="preserve">, </w:t>
      </w:r>
      <w:r w:rsidRPr="5E3CD0B0">
        <w:rPr>
          <w:sz w:val="24"/>
          <w:szCs w:val="24"/>
        </w:rPr>
        <w:t xml:space="preserve">nonetheless, </w:t>
      </w:r>
      <w:r w:rsidR="001B7497" w:rsidRPr="5E3CD0B0">
        <w:rPr>
          <w:sz w:val="24"/>
          <w:szCs w:val="24"/>
        </w:rPr>
        <w:t xml:space="preserve">discussions </w:t>
      </w:r>
      <w:r w:rsidR="00187024" w:rsidRPr="5E3CD0B0">
        <w:rPr>
          <w:sz w:val="24"/>
          <w:szCs w:val="24"/>
        </w:rPr>
        <w:t>tended to reflect many of the challenges</w:t>
      </w:r>
      <w:r w:rsidR="006B22E7" w:rsidRPr="5E3CD0B0">
        <w:rPr>
          <w:sz w:val="24"/>
          <w:szCs w:val="24"/>
        </w:rPr>
        <w:t xml:space="preserve"> </w:t>
      </w:r>
      <w:r w:rsidR="4F9B0FF2" w:rsidRPr="5E3CD0B0">
        <w:rPr>
          <w:sz w:val="24"/>
          <w:szCs w:val="24"/>
        </w:rPr>
        <w:t xml:space="preserve">which </w:t>
      </w:r>
      <w:r w:rsidR="006B22E7" w:rsidRPr="5E3CD0B0">
        <w:rPr>
          <w:sz w:val="24"/>
          <w:szCs w:val="24"/>
        </w:rPr>
        <w:t xml:space="preserve">appeared to have hampered </w:t>
      </w:r>
      <w:r w:rsidR="2A9D31D5" w:rsidRPr="5E3CD0B0">
        <w:rPr>
          <w:sz w:val="24"/>
          <w:szCs w:val="24"/>
        </w:rPr>
        <w:t xml:space="preserve">PETRA’s </w:t>
      </w:r>
      <w:r w:rsidR="006B22E7" w:rsidRPr="5E3CD0B0">
        <w:rPr>
          <w:sz w:val="24"/>
          <w:szCs w:val="24"/>
        </w:rPr>
        <w:t>progress to</w:t>
      </w:r>
      <w:r w:rsidR="008F77FC">
        <w:rPr>
          <w:sz w:val="24"/>
          <w:szCs w:val="24"/>
        </w:rPr>
        <w:t>-</w:t>
      </w:r>
      <w:r w:rsidR="006B22E7" w:rsidRPr="5E3CD0B0">
        <w:rPr>
          <w:sz w:val="24"/>
          <w:szCs w:val="24"/>
        </w:rPr>
        <w:t>date. These include the extent to which its purpose is to build the approp</w:t>
      </w:r>
      <w:r w:rsidR="003B3AB4" w:rsidRPr="5E3CD0B0">
        <w:rPr>
          <w:sz w:val="24"/>
          <w:szCs w:val="24"/>
        </w:rPr>
        <w:t>riate academic community and/or</w:t>
      </w:r>
      <w:r w:rsidR="006B22E7" w:rsidRPr="5E3CD0B0">
        <w:rPr>
          <w:sz w:val="24"/>
          <w:szCs w:val="24"/>
        </w:rPr>
        <w:t xml:space="preserve"> address the unintended co</w:t>
      </w:r>
      <w:r w:rsidR="00AE271C" w:rsidRPr="5E3CD0B0">
        <w:rPr>
          <w:sz w:val="24"/>
          <w:szCs w:val="24"/>
        </w:rPr>
        <w:t xml:space="preserve">nsequences of trade on health, </w:t>
      </w:r>
      <w:r w:rsidR="006B22E7" w:rsidRPr="5E3CD0B0">
        <w:rPr>
          <w:sz w:val="24"/>
          <w:szCs w:val="24"/>
        </w:rPr>
        <w:t xml:space="preserve">the </w:t>
      </w:r>
      <w:r w:rsidR="00187024" w:rsidRPr="5E3CD0B0">
        <w:rPr>
          <w:sz w:val="24"/>
          <w:szCs w:val="24"/>
        </w:rPr>
        <w:t>siloed nature of trade and health</w:t>
      </w:r>
      <w:r w:rsidR="3042F38B" w:rsidRPr="5E3CD0B0">
        <w:rPr>
          <w:sz w:val="24"/>
          <w:szCs w:val="24"/>
        </w:rPr>
        <w:t>,</w:t>
      </w:r>
      <w:r w:rsidR="00187024" w:rsidRPr="5E3CD0B0">
        <w:rPr>
          <w:sz w:val="24"/>
          <w:szCs w:val="24"/>
        </w:rPr>
        <w:t xml:space="preserve"> and the weak alliances between professionals</w:t>
      </w:r>
      <w:r w:rsidR="00AE271C" w:rsidRPr="5E3CD0B0">
        <w:rPr>
          <w:sz w:val="24"/>
          <w:szCs w:val="24"/>
        </w:rPr>
        <w:t xml:space="preserve"> and sectors</w:t>
      </w:r>
      <w:r w:rsidR="006B22E7" w:rsidRPr="5E3CD0B0">
        <w:rPr>
          <w:sz w:val="24"/>
          <w:szCs w:val="24"/>
        </w:rPr>
        <w:t>.</w:t>
      </w:r>
    </w:p>
    <w:p w:rsidR="006B22E7" w:rsidRPr="006B22E7" w:rsidRDefault="006B22E7" w:rsidP="006B22E7">
      <w:pPr>
        <w:pStyle w:val="ListParagraph"/>
        <w:ind w:left="284"/>
        <w:rPr>
          <w:b/>
          <w:sz w:val="24"/>
          <w:szCs w:val="24"/>
        </w:rPr>
      </w:pPr>
    </w:p>
    <w:p w:rsidR="00743BF1" w:rsidRDefault="001B7497" w:rsidP="00743BF1">
      <w:pPr>
        <w:pStyle w:val="ListParagraph"/>
        <w:numPr>
          <w:ilvl w:val="0"/>
          <w:numId w:val="2"/>
        </w:numPr>
        <w:ind w:left="284" w:hanging="284"/>
        <w:rPr>
          <w:sz w:val="24"/>
          <w:szCs w:val="24"/>
        </w:rPr>
      </w:pPr>
      <w:r w:rsidRPr="00AE561A">
        <w:rPr>
          <w:sz w:val="24"/>
          <w:szCs w:val="24"/>
        </w:rPr>
        <w:t xml:space="preserve">Undoubtedly across discussions at the Sandpit Exercise </w:t>
      </w:r>
      <w:r w:rsidR="002E4F34">
        <w:rPr>
          <w:sz w:val="24"/>
          <w:szCs w:val="24"/>
        </w:rPr>
        <w:t xml:space="preserve">there </w:t>
      </w:r>
      <w:r w:rsidRPr="00AE561A">
        <w:rPr>
          <w:sz w:val="24"/>
          <w:szCs w:val="24"/>
        </w:rPr>
        <w:t xml:space="preserve">was a feeling that the work of PETRA was timely and </w:t>
      </w:r>
      <w:r w:rsidR="354FDB3B" w:rsidRPr="00AE561A">
        <w:rPr>
          <w:sz w:val="24"/>
          <w:szCs w:val="24"/>
        </w:rPr>
        <w:t xml:space="preserve">had </w:t>
      </w:r>
      <w:r w:rsidR="008810D5" w:rsidRPr="00AE561A">
        <w:rPr>
          <w:sz w:val="24"/>
          <w:szCs w:val="24"/>
        </w:rPr>
        <w:t>a definite</w:t>
      </w:r>
      <w:r w:rsidRPr="00AE561A">
        <w:rPr>
          <w:sz w:val="24"/>
          <w:szCs w:val="24"/>
        </w:rPr>
        <w:t xml:space="preserve"> urgency given the on-going trade negotiations</w:t>
      </w:r>
      <w:r w:rsidR="7ADAB0A3" w:rsidRPr="00AE561A">
        <w:rPr>
          <w:sz w:val="24"/>
          <w:szCs w:val="24"/>
        </w:rPr>
        <w:t xml:space="preserve"> post-Brexit</w:t>
      </w:r>
      <w:r w:rsidRPr="00AE561A">
        <w:rPr>
          <w:sz w:val="24"/>
          <w:szCs w:val="24"/>
        </w:rPr>
        <w:t xml:space="preserve">.  There was also </w:t>
      </w:r>
      <w:r w:rsidR="00D46D5F" w:rsidRPr="00AE561A">
        <w:rPr>
          <w:sz w:val="24"/>
          <w:szCs w:val="24"/>
        </w:rPr>
        <w:t xml:space="preserve">awareness that there may be a rush to </w:t>
      </w:r>
      <w:r w:rsidR="00700048" w:rsidRPr="00AE561A">
        <w:rPr>
          <w:sz w:val="24"/>
          <w:szCs w:val="24"/>
        </w:rPr>
        <w:t xml:space="preserve">re-negotiate </w:t>
      </w:r>
      <w:r w:rsidR="00CC0AE0" w:rsidRPr="00AE561A">
        <w:rPr>
          <w:sz w:val="24"/>
          <w:szCs w:val="24"/>
        </w:rPr>
        <w:t>roll-over agreements</w:t>
      </w:r>
      <w:r w:rsidR="00700048" w:rsidRPr="00AE561A">
        <w:rPr>
          <w:sz w:val="24"/>
          <w:szCs w:val="24"/>
        </w:rPr>
        <w:t xml:space="preserve"> as well initiate new deals that may be</w:t>
      </w:r>
      <w:r w:rsidR="00D46D5F" w:rsidRPr="00AE561A">
        <w:rPr>
          <w:sz w:val="24"/>
          <w:szCs w:val="24"/>
        </w:rPr>
        <w:t xml:space="preserve"> need</w:t>
      </w:r>
      <w:r w:rsidR="00700048" w:rsidRPr="00AE561A">
        <w:rPr>
          <w:sz w:val="24"/>
          <w:szCs w:val="24"/>
        </w:rPr>
        <w:t>ed</w:t>
      </w:r>
      <w:r w:rsidR="00D46D5F" w:rsidRPr="00AE561A">
        <w:rPr>
          <w:sz w:val="24"/>
          <w:szCs w:val="24"/>
        </w:rPr>
        <w:t xml:space="preserve"> for economic recovery in the </w:t>
      </w:r>
      <w:r w:rsidR="00D46D5F" w:rsidRPr="00AE561A">
        <w:rPr>
          <w:sz w:val="24"/>
          <w:szCs w:val="24"/>
        </w:rPr>
        <w:lastRenderedPageBreak/>
        <w:t>aftermath of COVID-1</w:t>
      </w:r>
      <w:r w:rsidR="00F93EF3" w:rsidRPr="00AE561A">
        <w:rPr>
          <w:sz w:val="24"/>
          <w:szCs w:val="24"/>
        </w:rPr>
        <w:t>9</w:t>
      </w:r>
      <w:r w:rsidR="00D46D5F" w:rsidRPr="00AE561A">
        <w:rPr>
          <w:sz w:val="24"/>
          <w:szCs w:val="24"/>
        </w:rPr>
        <w:t xml:space="preserve"> as well as B</w:t>
      </w:r>
      <w:r w:rsidR="00700048" w:rsidRPr="00AE561A">
        <w:rPr>
          <w:sz w:val="24"/>
          <w:szCs w:val="24"/>
        </w:rPr>
        <w:t>rexit</w:t>
      </w:r>
      <w:r w:rsidR="00CB4A40" w:rsidRPr="00AE561A">
        <w:rPr>
          <w:sz w:val="24"/>
          <w:szCs w:val="24"/>
        </w:rPr>
        <w:t xml:space="preserve"> which may, in turn, mean that both public and health scrutin</w:t>
      </w:r>
      <w:r w:rsidR="008810D5" w:rsidRPr="00AE561A">
        <w:rPr>
          <w:sz w:val="24"/>
          <w:szCs w:val="24"/>
        </w:rPr>
        <w:t>y</w:t>
      </w:r>
      <w:r w:rsidR="00CB4A40" w:rsidRPr="00AE561A">
        <w:rPr>
          <w:sz w:val="24"/>
          <w:szCs w:val="24"/>
        </w:rPr>
        <w:t xml:space="preserve"> are more likely to be </w:t>
      </w:r>
      <w:r w:rsidR="3619F6F9" w:rsidRPr="00AE561A">
        <w:rPr>
          <w:sz w:val="24"/>
          <w:szCs w:val="24"/>
        </w:rPr>
        <w:t xml:space="preserve">rushed or </w:t>
      </w:r>
      <w:r w:rsidR="00CB4A40" w:rsidRPr="00AE561A">
        <w:rPr>
          <w:sz w:val="24"/>
          <w:szCs w:val="24"/>
        </w:rPr>
        <w:t>by-passed</w:t>
      </w:r>
      <w:r w:rsidR="216880BD" w:rsidRPr="00AE561A">
        <w:rPr>
          <w:sz w:val="24"/>
          <w:szCs w:val="24"/>
        </w:rPr>
        <w:t xml:space="preserve"> altogether</w:t>
      </w:r>
      <w:r w:rsidR="00CB4A40" w:rsidRPr="00AE561A">
        <w:rPr>
          <w:sz w:val="24"/>
          <w:szCs w:val="24"/>
        </w:rPr>
        <w:t xml:space="preserve">. </w:t>
      </w:r>
      <w:r w:rsidRPr="00AE561A">
        <w:rPr>
          <w:sz w:val="24"/>
          <w:szCs w:val="24"/>
        </w:rPr>
        <w:t xml:space="preserve"> </w:t>
      </w:r>
      <w:r w:rsidR="00743BF1" w:rsidRPr="00AE561A">
        <w:rPr>
          <w:sz w:val="24"/>
          <w:szCs w:val="24"/>
        </w:rPr>
        <w:t xml:space="preserve">Certainly, the impact of </w:t>
      </w:r>
      <w:r w:rsidR="00CB4A40" w:rsidRPr="00AE561A">
        <w:rPr>
          <w:sz w:val="24"/>
          <w:szCs w:val="24"/>
        </w:rPr>
        <w:t>T</w:t>
      </w:r>
      <w:r w:rsidR="00743BF1" w:rsidRPr="00AE561A">
        <w:rPr>
          <w:sz w:val="24"/>
          <w:szCs w:val="24"/>
        </w:rPr>
        <w:t xml:space="preserve">rade and </w:t>
      </w:r>
      <w:r w:rsidR="00CB4A40" w:rsidRPr="00AE561A">
        <w:rPr>
          <w:sz w:val="24"/>
          <w:szCs w:val="24"/>
        </w:rPr>
        <w:t>Investment A</w:t>
      </w:r>
      <w:r w:rsidR="00743BF1" w:rsidRPr="00AE561A">
        <w:rPr>
          <w:sz w:val="24"/>
          <w:szCs w:val="24"/>
        </w:rPr>
        <w:t>greements</w:t>
      </w:r>
      <w:r w:rsidR="00CB4A40" w:rsidRPr="00AE561A">
        <w:rPr>
          <w:sz w:val="24"/>
          <w:szCs w:val="24"/>
        </w:rPr>
        <w:t xml:space="preserve"> (TIAs)</w:t>
      </w:r>
      <w:r w:rsidR="00743BF1" w:rsidRPr="00AE561A">
        <w:rPr>
          <w:sz w:val="24"/>
          <w:szCs w:val="24"/>
        </w:rPr>
        <w:t>, the most likely form of new trade deals, on health can be wide</w:t>
      </w:r>
      <w:r w:rsidR="779DF0D5" w:rsidRPr="00AE561A">
        <w:rPr>
          <w:sz w:val="24"/>
          <w:szCs w:val="24"/>
        </w:rPr>
        <w:t>-</w:t>
      </w:r>
      <w:r w:rsidR="00743BF1" w:rsidRPr="00AE561A">
        <w:rPr>
          <w:sz w:val="24"/>
          <w:szCs w:val="24"/>
        </w:rPr>
        <w:t>ranging, both positively and negatively</w:t>
      </w:r>
      <w:r w:rsidR="42C1F872" w:rsidRPr="00AE561A">
        <w:rPr>
          <w:sz w:val="24"/>
          <w:szCs w:val="24"/>
        </w:rPr>
        <w:t>,</w:t>
      </w:r>
      <w:r w:rsidR="00743BF1">
        <w:rPr>
          <w:rStyle w:val="EndnoteReference"/>
          <w:sz w:val="24"/>
          <w:szCs w:val="24"/>
        </w:rPr>
        <w:endnoteReference w:id="2"/>
      </w:r>
      <w:r w:rsidR="00743BF1" w:rsidRPr="00AE561A">
        <w:rPr>
          <w:sz w:val="24"/>
          <w:szCs w:val="24"/>
        </w:rPr>
        <w:t xml:space="preserve"> </w:t>
      </w:r>
      <w:r w:rsidR="00743BF1">
        <w:rPr>
          <w:rStyle w:val="EndnoteReference"/>
          <w:sz w:val="24"/>
          <w:szCs w:val="24"/>
        </w:rPr>
        <w:endnoteReference w:id="3"/>
      </w:r>
      <w:r w:rsidR="00743BF1" w:rsidRPr="00AE561A">
        <w:rPr>
          <w:sz w:val="24"/>
          <w:szCs w:val="24"/>
        </w:rPr>
        <w:t xml:space="preserve"> and </w:t>
      </w:r>
      <w:r w:rsidR="00CB4A40" w:rsidRPr="00AE561A">
        <w:rPr>
          <w:sz w:val="24"/>
          <w:szCs w:val="24"/>
        </w:rPr>
        <w:t>this is likely to be further impacted by the mechanism of Investor State Dispute Settlements (ISDS), in which disputes are settled through ad hoc arbitration panels whose members may not have the appropriate health expertise or sympathy for public health regulation</w:t>
      </w:r>
      <w:r w:rsidR="00CB4A40">
        <w:rPr>
          <w:rStyle w:val="EndnoteReference"/>
          <w:sz w:val="24"/>
          <w:szCs w:val="24"/>
        </w:rPr>
        <w:endnoteReference w:id="4"/>
      </w:r>
      <w:r w:rsidR="00CB4A40" w:rsidRPr="00AE561A">
        <w:rPr>
          <w:sz w:val="24"/>
          <w:szCs w:val="24"/>
        </w:rPr>
        <w:t xml:space="preserve"> </w:t>
      </w:r>
      <w:r w:rsidR="00CB4A40">
        <w:rPr>
          <w:rStyle w:val="EndnoteReference"/>
          <w:sz w:val="24"/>
          <w:szCs w:val="24"/>
        </w:rPr>
        <w:endnoteReference w:id="5"/>
      </w:r>
      <w:r w:rsidR="00CB4A40" w:rsidRPr="00AE561A">
        <w:rPr>
          <w:sz w:val="24"/>
          <w:szCs w:val="24"/>
        </w:rPr>
        <w:t xml:space="preserve">.   Thus, </w:t>
      </w:r>
      <w:r w:rsidR="00743BF1" w:rsidRPr="00AE561A">
        <w:rPr>
          <w:sz w:val="24"/>
          <w:szCs w:val="24"/>
        </w:rPr>
        <w:t xml:space="preserve">understanding where, when and at what point PETRA might play a critical role in ensuring that all the possible opportunities to ensure health was a priority not </w:t>
      </w:r>
      <w:r w:rsidR="35D40D5D" w:rsidRPr="00AE561A">
        <w:rPr>
          <w:sz w:val="24"/>
          <w:szCs w:val="24"/>
        </w:rPr>
        <w:t xml:space="preserve">to be </w:t>
      </w:r>
      <w:r w:rsidR="00743BF1" w:rsidRPr="00AE561A">
        <w:rPr>
          <w:sz w:val="24"/>
          <w:szCs w:val="24"/>
        </w:rPr>
        <w:t xml:space="preserve">overlooked was challenging.  It was of concern, therefore, that possibly because of the </w:t>
      </w:r>
      <w:r w:rsidR="7B3CD2E5" w:rsidRPr="00AE561A">
        <w:rPr>
          <w:sz w:val="24"/>
          <w:szCs w:val="24"/>
        </w:rPr>
        <w:t xml:space="preserve">particular </w:t>
      </w:r>
      <w:r w:rsidR="00743BF1" w:rsidRPr="00AE561A">
        <w:rPr>
          <w:sz w:val="24"/>
          <w:szCs w:val="24"/>
        </w:rPr>
        <w:t>r</w:t>
      </w:r>
      <w:r w:rsidR="000B3B31" w:rsidRPr="00AE561A">
        <w:rPr>
          <w:sz w:val="24"/>
          <w:szCs w:val="24"/>
        </w:rPr>
        <w:t>ang</w:t>
      </w:r>
      <w:r w:rsidR="00743BF1" w:rsidRPr="00AE561A">
        <w:rPr>
          <w:sz w:val="24"/>
          <w:szCs w:val="24"/>
        </w:rPr>
        <w:t>e of experience and professional backgrounds of participants</w:t>
      </w:r>
      <w:r w:rsidR="00AE561A" w:rsidRPr="00AE561A">
        <w:rPr>
          <w:sz w:val="24"/>
          <w:szCs w:val="24"/>
        </w:rPr>
        <w:t xml:space="preserve"> and the lack of time available</w:t>
      </w:r>
      <w:r w:rsidR="00743BF1" w:rsidRPr="00AE561A">
        <w:rPr>
          <w:sz w:val="24"/>
          <w:szCs w:val="24"/>
        </w:rPr>
        <w:t xml:space="preserve">, it was not possible at the Sandpit Exercise to </w:t>
      </w:r>
      <w:r w:rsidR="005A2E99" w:rsidRPr="00AE561A">
        <w:rPr>
          <w:sz w:val="24"/>
          <w:szCs w:val="24"/>
        </w:rPr>
        <w:t>discuss the intricacies of trade deals in-depth</w:t>
      </w:r>
      <w:r w:rsidR="00AE561A" w:rsidRPr="00AE561A">
        <w:rPr>
          <w:sz w:val="24"/>
          <w:szCs w:val="24"/>
        </w:rPr>
        <w:t>. Nonetheless, it did provide an opportunity to allow a range of topics to surface requiring further scrutiny and exploration</w:t>
      </w:r>
      <w:r w:rsidR="005A2E99" w:rsidRPr="00AE561A">
        <w:rPr>
          <w:sz w:val="24"/>
          <w:szCs w:val="24"/>
        </w:rPr>
        <w:t xml:space="preserve">. </w:t>
      </w:r>
    </w:p>
    <w:p w:rsidR="00AE561A" w:rsidRPr="00AE561A" w:rsidRDefault="00AE561A" w:rsidP="00AE561A">
      <w:pPr>
        <w:pStyle w:val="ListParagraph"/>
        <w:ind w:left="284"/>
        <w:rPr>
          <w:sz w:val="24"/>
          <w:szCs w:val="24"/>
        </w:rPr>
      </w:pPr>
    </w:p>
    <w:p w:rsidR="00D83E1A" w:rsidRDefault="001B7497" w:rsidP="007C42BD">
      <w:pPr>
        <w:pStyle w:val="ListParagraph"/>
        <w:numPr>
          <w:ilvl w:val="0"/>
          <w:numId w:val="1"/>
        </w:numPr>
        <w:ind w:left="284" w:hanging="284"/>
        <w:rPr>
          <w:sz w:val="24"/>
          <w:szCs w:val="24"/>
        </w:rPr>
      </w:pPr>
      <w:r>
        <w:rPr>
          <w:sz w:val="24"/>
          <w:szCs w:val="24"/>
        </w:rPr>
        <w:t xml:space="preserve"> </w:t>
      </w:r>
      <w:r w:rsidR="009E6E7F">
        <w:rPr>
          <w:sz w:val="24"/>
          <w:szCs w:val="24"/>
        </w:rPr>
        <w:t xml:space="preserve">In the fast-moving </w:t>
      </w:r>
      <w:r w:rsidR="000E792D">
        <w:rPr>
          <w:sz w:val="24"/>
          <w:szCs w:val="24"/>
        </w:rPr>
        <w:t xml:space="preserve">and fluid </w:t>
      </w:r>
      <w:r w:rsidR="009E6E7F">
        <w:rPr>
          <w:sz w:val="24"/>
          <w:szCs w:val="24"/>
        </w:rPr>
        <w:t>world of trade negotiations the UK</w:t>
      </w:r>
      <w:r w:rsidR="00D46D5F">
        <w:rPr>
          <w:sz w:val="24"/>
          <w:szCs w:val="24"/>
        </w:rPr>
        <w:t>, however,</w:t>
      </w:r>
      <w:r w:rsidR="009E6E7F">
        <w:rPr>
          <w:sz w:val="24"/>
          <w:szCs w:val="24"/>
        </w:rPr>
        <w:t xml:space="preserve"> </w:t>
      </w:r>
      <w:r w:rsidR="3609AF83">
        <w:rPr>
          <w:sz w:val="24"/>
          <w:szCs w:val="24"/>
        </w:rPr>
        <w:t xml:space="preserve">faces </w:t>
      </w:r>
      <w:r w:rsidR="009E6E7F">
        <w:rPr>
          <w:sz w:val="24"/>
          <w:szCs w:val="24"/>
        </w:rPr>
        <w:t xml:space="preserve">a number of distinct difficulties. </w:t>
      </w:r>
      <w:r w:rsidR="00700048">
        <w:rPr>
          <w:sz w:val="24"/>
          <w:szCs w:val="24"/>
        </w:rPr>
        <w:t xml:space="preserve">It is likely to be, for example, </w:t>
      </w:r>
      <w:r w:rsidR="009E6E7F">
        <w:rPr>
          <w:sz w:val="24"/>
          <w:szCs w:val="24"/>
        </w:rPr>
        <w:t>at a comparative disadvantage in trade discussions since</w:t>
      </w:r>
      <w:r w:rsidR="3C7045E7">
        <w:rPr>
          <w:sz w:val="24"/>
          <w:szCs w:val="24"/>
        </w:rPr>
        <w:t>, as a result of having been a member of the EU,</w:t>
      </w:r>
      <w:r w:rsidR="009E6E7F">
        <w:rPr>
          <w:sz w:val="24"/>
          <w:szCs w:val="24"/>
        </w:rPr>
        <w:t xml:space="preserve"> it has had little experience of negotiating</w:t>
      </w:r>
      <w:r w:rsidR="009E6E7F">
        <w:rPr>
          <w:rStyle w:val="EndnoteReference"/>
          <w:sz w:val="24"/>
          <w:szCs w:val="24"/>
        </w:rPr>
        <w:endnoteReference w:id="6"/>
      </w:r>
      <w:r w:rsidR="009E6E7F">
        <w:rPr>
          <w:sz w:val="24"/>
          <w:szCs w:val="24"/>
        </w:rPr>
        <w:t xml:space="preserve"> </w:t>
      </w:r>
      <w:r w:rsidR="00E91CF5">
        <w:rPr>
          <w:sz w:val="24"/>
          <w:szCs w:val="24"/>
        </w:rPr>
        <w:t>over the last 50 years</w:t>
      </w:r>
      <w:r w:rsidR="002E4F34">
        <w:rPr>
          <w:sz w:val="24"/>
          <w:szCs w:val="24"/>
        </w:rPr>
        <w:t>;</w:t>
      </w:r>
      <w:r w:rsidR="00E91CF5">
        <w:rPr>
          <w:sz w:val="24"/>
          <w:szCs w:val="24"/>
        </w:rPr>
        <w:t xml:space="preserve"> the challenge will </w:t>
      </w:r>
      <w:r w:rsidR="000E792D">
        <w:rPr>
          <w:sz w:val="24"/>
          <w:szCs w:val="24"/>
        </w:rPr>
        <w:t>be</w:t>
      </w:r>
      <w:r w:rsidR="00E91CF5">
        <w:rPr>
          <w:sz w:val="24"/>
          <w:szCs w:val="24"/>
        </w:rPr>
        <w:t xml:space="preserve"> when the UK tries to negotiate with more powerful </w:t>
      </w:r>
      <w:r w:rsidR="000E792D">
        <w:rPr>
          <w:sz w:val="24"/>
          <w:szCs w:val="24"/>
        </w:rPr>
        <w:t>countries</w:t>
      </w:r>
      <w:r w:rsidR="00E91CF5">
        <w:rPr>
          <w:sz w:val="24"/>
          <w:szCs w:val="24"/>
        </w:rPr>
        <w:t xml:space="preserve"> who have had more experience in trade deals</w:t>
      </w:r>
      <w:r w:rsidR="000E792D">
        <w:rPr>
          <w:sz w:val="24"/>
          <w:szCs w:val="24"/>
        </w:rPr>
        <w:t>,</w:t>
      </w:r>
      <w:r w:rsidR="00E91CF5">
        <w:rPr>
          <w:sz w:val="24"/>
          <w:szCs w:val="24"/>
        </w:rPr>
        <w:t xml:space="preserve"> such as in the Comprehensive and Progressive Agreement for Trans-Pacific Partnership (CPTPP)</w:t>
      </w:r>
      <w:r w:rsidR="00E91CF5">
        <w:rPr>
          <w:rStyle w:val="EndnoteReference"/>
          <w:sz w:val="24"/>
          <w:szCs w:val="24"/>
        </w:rPr>
        <w:endnoteReference w:id="7"/>
      </w:r>
      <w:r w:rsidR="000E792D">
        <w:rPr>
          <w:sz w:val="24"/>
          <w:szCs w:val="24"/>
        </w:rPr>
        <w:t>.</w:t>
      </w:r>
      <w:r w:rsidR="00611473">
        <w:rPr>
          <w:sz w:val="24"/>
          <w:szCs w:val="24"/>
        </w:rPr>
        <w:t xml:space="preserve">  Bi-lateral Agreements (BITs) may be </w:t>
      </w:r>
      <w:r w:rsidR="009B37B9">
        <w:rPr>
          <w:sz w:val="24"/>
          <w:szCs w:val="24"/>
        </w:rPr>
        <w:t xml:space="preserve">the </w:t>
      </w:r>
      <w:r w:rsidR="00611473">
        <w:rPr>
          <w:sz w:val="24"/>
          <w:szCs w:val="24"/>
        </w:rPr>
        <w:t>most likely form of trade negotiations for the UK following B</w:t>
      </w:r>
      <w:r w:rsidR="00700048">
        <w:rPr>
          <w:sz w:val="24"/>
          <w:szCs w:val="24"/>
        </w:rPr>
        <w:t>rexit</w:t>
      </w:r>
      <w:r w:rsidR="00611473">
        <w:rPr>
          <w:sz w:val="24"/>
          <w:szCs w:val="24"/>
        </w:rPr>
        <w:t xml:space="preserve"> but they are susceptible to power imbalances and may well lead to greater liberalisation of harmful produc</w:t>
      </w:r>
      <w:r w:rsidR="00592EAD">
        <w:rPr>
          <w:sz w:val="24"/>
          <w:szCs w:val="24"/>
        </w:rPr>
        <w:t>t</w:t>
      </w:r>
      <w:r w:rsidR="00611473">
        <w:rPr>
          <w:sz w:val="24"/>
          <w:szCs w:val="24"/>
        </w:rPr>
        <w:t>s and stronger enforcement mechanism</w:t>
      </w:r>
      <w:r w:rsidR="00592EAD">
        <w:rPr>
          <w:sz w:val="24"/>
          <w:szCs w:val="24"/>
        </w:rPr>
        <w:t>s</w:t>
      </w:r>
      <w:r w:rsidR="00611473">
        <w:rPr>
          <w:sz w:val="24"/>
          <w:szCs w:val="24"/>
        </w:rPr>
        <w:t xml:space="preserve"> than within the WTO regulations</w:t>
      </w:r>
      <w:r w:rsidR="00611473">
        <w:rPr>
          <w:rStyle w:val="EndnoteReference"/>
          <w:sz w:val="24"/>
          <w:szCs w:val="24"/>
        </w:rPr>
        <w:endnoteReference w:id="8"/>
      </w:r>
      <w:r w:rsidR="00611473">
        <w:rPr>
          <w:sz w:val="24"/>
          <w:szCs w:val="24"/>
        </w:rPr>
        <w:t xml:space="preserve">.  </w:t>
      </w:r>
    </w:p>
    <w:p w:rsidR="00E91CF5" w:rsidRDefault="00E91CF5" w:rsidP="00E91CF5">
      <w:pPr>
        <w:pStyle w:val="ListParagraph"/>
        <w:ind w:left="284"/>
        <w:rPr>
          <w:sz w:val="24"/>
          <w:szCs w:val="24"/>
        </w:rPr>
      </w:pPr>
    </w:p>
    <w:p w:rsidR="00897952" w:rsidRDefault="00897952" w:rsidP="007C42BD">
      <w:pPr>
        <w:pStyle w:val="ListParagraph"/>
        <w:numPr>
          <w:ilvl w:val="0"/>
          <w:numId w:val="1"/>
        </w:numPr>
        <w:ind w:left="284" w:hanging="284"/>
        <w:rPr>
          <w:sz w:val="24"/>
          <w:szCs w:val="24"/>
        </w:rPr>
      </w:pPr>
      <w:r>
        <w:rPr>
          <w:sz w:val="24"/>
          <w:szCs w:val="24"/>
        </w:rPr>
        <w:t>As noted by a good many discussions at the Sandpit, n</w:t>
      </w:r>
      <w:r w:rsidRPr="677DD1DD">
        <w:rPr>
          <w:sz w:val="24"/>
          <w:szCs w:val="24"/>
        </w:rPr>
        <w:t xml:space="preserve">ot only </w:t>
      </w:r>
      <w:r w:rsidR="005A2E99">
        <w:rPr>
          <w:sz w:val="24"/>
          <w:szCs w:val="24"/>
        </w:rPr>
        <w:t>are</w:t>
      </w:r>
      <w:r w:rsidRPr="677DD1DD">
        <w:rPr>
          <w:sz w:val="24"/>
          <w:szCs w:val="24"/>
        </w:rPr>
        <w:t xml:space="preserve"> negotiations </w:t>
      </w:r>
      <w:r w:rsidR="00373494">
        <w:rPr>
          <w:sz w:val="24"/>
          <w:szCs w:val="24"/>
        </w:rPr>
        <w:t xml:space="preserve">clouded by opacity but members of </w:t>
      </w:r>
      <w:r w:rsidRPr="677DD1DD">
        <w:rPr>
          <w:sz w:val="24"/>
          <w:szCs w:val="24"/>
        </w:rPr>
        <w:t xml:space="preserve">the health community are unlikely to be sitting at the negotiating </w:t>
      </w:r>
      <w:r w:rsidRPr="00E85AB1">
        <w:rPr>
          <w:sz w:val="24"/>
          <w:szCs w:val="24"/>
        </w:rPr>
        <w:t>table in contrast to those</w:t>
      </w:r>
      <w:r w:rsidRPr="677DD1DD">
        <w:rPr>
          <w:sz w:val="24"/>
          <w:szCs w:val="24"/>
        </w:rPr>
        <w:t xml:space="preserve"> from industry and corporate players</w:t>
      </w:r>
      <w:r>
        <w:rPr>
          <w:rStyle w:val="EndnoteReference"/>
          <w:sz w:val="24"/>
          <w:szCs w:val="24"/>
        </w:rPr>
        <w:endnoteReference w:id="9"/>
      </w:r>
      <w:r w:rsidRPr="677DD1DD">
        <w:rPr>
          <w:sz w:val="24"/>
          <w:szCs w:val="24"/>
        </w:rPr>
        <w:t xml:space="preserve">.  </w:t>
      </w:r>
      <w:r w:rsidR="00373494">
        <w:rPr>
          <w:sz w:val="24"/>
          <w:szCs w:val="24"/>
        </w:rPr>
        <w:t xml:space="preserve">It would, though, not be enough simply to be at the table but to know how and in what way it may be best to contribute to discussions.  Whether this would be a question of providing </w:t>
      </w:r>
      <w:r w:rsidR="00BF2B6E">
        <w:rPr>
          <w:sz w:val="24"/>
          <w:szCs w:val="24"/>
        </w:rPr>
        <w:t xml:space="preserve">appropriate evidence in advance, </w:t>
      </w:r>
      <w:r w:rsidR="00373494">
        <w:rPr>
          <w:sz w:val="24"/>
          <w:szCs w:val="24"/>
        </w:rPr>
        <w:t>an expert knowledge base, providing a blueprint for an ideal trade deal</w:t>
      </w:r>
      <w:r w:rsidR="006476C4">
        <w:rPr>
          <w:sz w:val="24"/>
          <w:szCs w:val="24"/>
        </w:rPr>
        <w:t xml:space="preserve"> or ideal regulation</w:t>
      </w:r>
      <w:r w:rsidR="15F07095">
        <w:rPr>
          <w:sz w:val="24"/>
          <w:szCs w:val="24"/>
        </w:rPr>
        <w:t>,</w:t>
      </w:r>
      <w:r w:rsidR="00373494">
        <w:rPr>
          <w:sz w:val="24"/>
          <w:szCs w:val="24"/>
        </w:rPr>
        <w:t xml:space="preserve"> or even a checklist for health may be further complicated by the fact that every trade agreement will encompass a range of competing interests and each has to be looked at individually.  </w:t>
      </w:r>
      <w:r w:rsidR="00DD6D80">
        <w:rPr>
          <w:sz w:val="24"/>
          <w:szCs w:val="24"/>
        </w:rPr>
        <w:t>Moreover, g</w:t>
      </w:r>
      <w:r w:rsidR="00373494">
        <w:rPr>
          <w:sz w:val="24"/>
          <w:szCs w:val="24"/>
        </w:rPr>
        <w:t xml:space="preserve">iven the </w:t>
      </w:r>
      <w:r w:rsidR="00DD6D80">
        <w:rPr>
          <w:sz w:val="24"/>
          <w:szCs w:val="24"/>
        </w:rPr>
        <w:t xml:space="preserve">available range and </w:t>
      </w:r>
      <w:r w:rsidR="00373494">
        <w:rPr>
          <w:sz w:val="24"/>
          <w:szCs w:val="24"/>
        </w:rPr>
        <w:t xml:space="preserve">multiplicity of agreements, industry </w:t>
      </w:r>
      <w:r w:rsidR="00DD6D80">
        <w:rPr>
          <w:sz w:val="24"/>
          <w:szCs w:val="24"/>
        </w:rPr>
        <w:t xml:space="preserve">may </w:t>
      </w:r>
      <w:r w:rsidR="00373494">
        <w:rPr>
          <w:sz w:val="24"/>
          <w:szCs w:val="24"/>
        </w:rPr>
        <w:t>lobby governments to ensure that the most appropriate legislation for their interests is pursued</w:t>
      </w:r>
      <w:r w:rsidR="004E43FF">
        <w:rPr>
          <w:rStyle w:val="EndnoteReference"/>
          <w:sz w:val="24"/>
          <w:szCs w:val="24"/>
        </w:rPr>
        <w:endnoteReference w:id="10"/>
      </w:r>
      <w:r w:rsidR="00373494">
        <w:rPr>
          <w:sz w:val="24"/>
          <w:szCs w:val="24"/>
        </w:rPr>
        <w:t>.</w:t>
      </w:r>
      <w:r w:rsidR="00BF2B6E">
        <w:rPr>
          <w:sz w:val="24"/>
          <w:szCs w:val="24"/>
        </w:rPr>
        <w:t xml:space="preserve"> </w:t>
      </w:r>
      <w:r w:rsidR="00373494">
        <w:rPr>
          <w:sz w:val="24"/>
          <w:szCs w:val="24"/>
        </w:rPr>
        <w:t xml:space="preserve"> </w:t>
      </w:r>
    </w:p>
    <w:p w:rsidR="006476C4" w:rsidRDefault="006476C4" w:rsidP="006476C4">
      <w:pPr>
        <w:pStyle w:val="ListParagraph"/>
        <w:ind w:left="284"/>
        <w:rPr>
          <w:sz w:val="24"/>
          <w:szCs w:val="24"/>
        </w:rPr>
      </w:pPr>
    </w:p>
    <w:p w:rsidR="0091486C" w:rsidRDefault="002E5956" w:rsidP="00373494">
      <w:pPr>
        <w:pStyle w:val="ListParagraph"/>
        <w:numPr>
          <w:ilvl w:val="0"/>
          <w:numId w:val="1"/>
        </w:numPr>
        <w:ind w:left="284" w:hanging="284"/>
        <w:rPr>
          <w:sz w:val="24"/>
          <w:szCs w:val="24"/>
        </w:rPr>
      </w:pPr>
      <w:r w:rsidRPr="00CC0AE0">
        <w:rPr>
          <w:sz w:val="24"/>
          <w:szCs w:val="24"/>
        </w:rPr>
        <w:t>Given that for the government</w:t>
      </w:r>
      <w:r w:rsidR="006476C4" w:rsidRPr="00CC0AE0">
        <w:rPr>
          <w:sz w:val="24"/>
          <w:szCs w:val="24"/>
        </w:rPr>
        <w:t xml:space="preserve"> to </w:t>
      </w:r>
      <w:r w:rsidR="00C871BB" w:rsidRPr="00CC0AE0">
        <w:rPr>
          <w:sz w:val="24"/>
          <w:szCs w:val="24"/>
        </w:rPr>
        <w:t>become</w:t>
      </w:r>
      <w:r w:rsidR="006476C4" w:rsidRPr="00CC0AE0">
        <w:rPr>
          <w:sz w:val="24"/>
          <w:szCs w:val="24"/>
        </w:rPr>
        <w:t xml:space="preserve"> more transparent</w:t>
      </w:r>
      <w:r w:rsidRPr="00CC0AE0">
        <w:rPr>
          <w:sz w:val="24"/>
          <w:szCs w:val="24"/>
        </w:rPr>
        <w:t>, it</w:t>
      </w:r>
      <w:r w:rsidR="006476C4" w:rsidRPr="00CC0AE0">
        <w:rPr>
          <w:sz w:val="24"/>
          <w:szCs w:val="24"/>
        </w:rPr>
        <w:t xml:space="preserve"> may jeopardise the </w:t>
      </w:r>
      <w:r w:rsidR="00C871BB" w:rsidRPr="00CC0AE0">
        <w:rPr>
          <w:sz w:val="24"/>
          <w:szCs w:val="24"/>
        </w:rPr>
        <w:t>delicate</w:t>
      </w:r>
      <w:r w:rsidR="006476C4" w:rsidRPr="00CC0AE0">
        <w:rPr>
          <w:sz w:val="24"/>
          <w:szCs w:val="24"/>
        </w:rPr>
        <w:t xml:space="preserve"> nature of negotiations, it will be challenging to detail what transparency in negotiations might look like</w:t>
      </w:r>
      <w:r w:rsidRPr="00CC0AE0">
        <w:rPr>
          <w:sz w:val="24"/>
          <w:szCs w:val="24"/>
        </w:rPr>
        <w:t xml:space="preserve">. </w:t>
      </w:r>
      <w:r w:rsidR="00D83FFE">
        <w:rPr>
          <w:sz w:val="24"/>
          <w:szCs w:val="24"/>
        </w:rPr>
        <w:t xml:space="preserve">There was undoubtedly a gap in knowledge as to the </w:t>
      </w:r>
      <w:r w:rsidR="00D83FFE">
        <w:rPr>
          <w:sz w:val="24"/>
          <w:szCs w:val="24"/>
        </w:rPr>
        <w:lastRenderedPageBreak/>
        <w:t xml:space="preserve">process of trade negotiations and how and in what way deals are made as well as the nature of the protagonists. </w:t>
      </w:r>
      <w:r w:rsidR="0091486C">
        <w:rPr>
          <w:sz w:val="24"/>
          <w:szCs w:val="24"/>
        </w:rPr>
        <w:t>Moreover there was the potenti</w:t>
      </w:r>
      <w:r w:rsidR="0046068B">
        <w:rPr>
          <w:sz w:val="24"/>
          <w:szCs w:val="24"/>
        </w:rPr>
        <w:t xml:space="preserve">al of a further tension in the </w:t>
      </w:r>
      <w:r w:rsidR="0091486C">
        <w:rPr>
          <w:sz w:val="24"/>
          <w:szCs w:val="24"/>
        </w:rPr>
        <w:t xml:space="preserve">need for having an overarching strategy towards health in trade agreements and the need to recognise that </w:t>
      </w:r>
      <w:r w:rsidR="008810D5">
        <w:rPr>
          <w:sz w:val="24"/>
          <w:szCs w:val="24"/>
        </w:rPr>
        <w:t>individual</w:t>
      </w:r>
      <w:r w:rsidR="0091486C">
        <w:rPr>
          <w:sz w:val="24"/>
          <w:szCs w:val="24"/>
        </w:rPr>
        <w:t xml:space="preserve"> trading partners may have different imperatives and priorities as to how they are framing the purpose of any specific agreement. </w:t>
      </w:r>
      <w:r w:rsidR="0046068B">
        <w:rPr>
          <w:sz w:val="24"/>
          <w:szCs w:val="24"/>
        </w:rPr>
        <w:t xml:space="preserve">This also has to be seen against the backdrop of </w:t>
      </w:r>
      <w:r w:rsidR="009D4C1B">
        <w:rPr>
          <w:sz w:val="24"/>
          <w:szCs w:val="24"/>
        </w:rPr>
        <w:t xml:space="preserve">the uncertainty of government policy </w:t>
      </w:r>
      <w:r w:rsidR="00AE271C">
        <w:rPr>
          <w:sz w:val="24"/>
          <w:szCs w:val="24"/>
        </w:rPr>
        <w:t>with evidence of</w:t>
      </w:r>
      <w:r w:rsidR="009D4C1B">
        <w:rPr>
          <w:sz w:val="24"/>
          <w:szCs w:val="24"/>
        </w:rPr>
        <w:t xml:space="preserve"> trade deals that are being concluded </w:t>
      </w:r>
      <w:r w:rsidR="00AE271C">
        <w:rPr>
          <w:sz w:val="24"/>
          <w:szCs w:val="24"/>
        </w:rPr>
        <w:t xml:space="preserve">that </w:t>
      </w:r>
      <w:r w:rsidR="009D4C1B">
        <w:rPr>
          <w:sz w:val="24"/>
          <w:szCs w:val="24"/>
        </w:rPr>
        <w:t xml:space="preserve">seemingly negate </w:t>
      </w:r>
      <w:r w:rsidR="1C5706F9">
        <w:rPr>
          <w:sz w:val="24"/>
          <w:szCs w:val="24"/>
        </w:rPr>
        <w:t xml:space="preserve">or downplay </w:t>
      </w:r>
      <w:r w:rsidR="008810D5">
        <w:rPr>
          <w:sz w:val="24"/>
          <w:szCs w:val="24"/>
        </w:rPr>
        <w:t>the ambition of supporting</w:t>
      </w:r>
      <w:r w:rsidR="009D4C1B">
        <w:rPr>
          <w:sz w:val="24"/>
          <w:szCs w:val="24"/>
        </w:rPr>
        <w:t xml:space="preserve"> public health.</w:t>
      </w:r>
      <w:r w:rsidR="009D4C1B">
        <w:rPr>
          <w:rStyle w:val="EndnoteReference"/>
          <w:sz w:val="24"/>
          <w:szCs w:val="24"/>
        </w:rPr>
        <w:endnoteReference w:id="11"/>
      </w:r>
    </w:p>
    <w:p w:rsidR="0046068B" w:rsidRDefault="0046068B" w:rsidP="0046068B">
      <w:pPr>
        <w:pStyle w:val="ListParagraph"/>
        <w:ind w:left="284"/>
        <w:rPr>
          <w:sz w:val="24"/>
          <w:szCs w:val="24"/>
        </w:rPr>
      </w:pPr>
    </w:p>
    <w:p w:rsidR="00373494" w:rsidRDefault="0091486C" w:rsidP="00373494">
      <w:pPr>
        <w:pStyle w:val="ListParagraph"/>
        <w:numPr>
          <w:ilvl w:val="0"/>
          <w:numId w:val="1"/>
        </w:numPr>
        <w:ind w:left="284" w:hanging="284"/>
        <w:rPr>
          <w:sz w:val="24"/>
          <w:szCs w:val="24"/>
        </w:rPr>
      </w:pPr>
      <w:r>
        <w:rPr>
          <w:sz w:val="24"/>
          <w:szCs w:val="24"/>
        </w:rPr>
        <w:t xml:space="preserve">Grappling with these difficulties, </w:t>
      </w:r>
      <w:r w:rsidR="004A45FC">
        <w:rPr>
          <w:sz w:val="24"/>
          <w:szCs w:val="24"/>
        </w:rPr>
        <w:t xml:space="preserve">NGO representatives at the Sandpit stressed there had been repeated attempts to lobby parliamentarians over the last few years </w:t>
      </w:r>
      <w:r w:rsidR="00D83FFE">
        <w:rPr>
          <w:sz w:val="24"/>
          <w:szCs w:val="24"/>
        </w:rPr>
        <w:t>for greater clarification</w:t>
      </w:r>
      <w:r w:rsidR="00FC28C5">
        <w:rPr>
          <w:sz w:val="24"/>
          <w:szCs w:val="24"/>
        </w:rPr>
        <w:t>.</w:t>
      </w:r>
      <w:r w:rsidR="004A45FC">
        <w:rPr>
          <w:sz w:val="24"/>
          <w:szCs w:val="24"/>
        </w:rPr>
        <w:t xml:space="preserve"> </w:t>
      </w:r>
      <w:r w:rsidR="00FC28C5">
        <w:rPr>
          <w:sz w:val="24"/>
          <w:szCs w:val="24"/>
        </w:rPr>
        <w:t>T</w:t>
      </w:r>
      <w:r w:rsidR="004A45FC">
        <w:rPr>
          <w:sz w:val="24"/>
          <w:szCs w:val="24"/>
        </w:rPr>
        <w:t xml:space="preserve">he </w:t>
      </w:r>
      <w:r w:rsidR="00AE561A">
        <w:rPr>
          <w:sz w:val="24"/>
          <w:szCs w:val="24"/>
        </w:rPr>
        <w:t xml:space="preserve">debate at the event </w:t>
      </w:r>
      <w:r w:rsidR="004A45FC">
        <w:rPr>
          <w:sz w:val="24"/>
          <w:szCs w:val="24"/>
        </w:rPr>
        <w:t xml:space="preserve">discussion </w:t>
      </w:r>
      <w:r w:rsidR="00D012B6">
        <w:rPr>
          <w:sz w:val="24"/>
          <w:szCs w:val="24"/>
        </w:rPr>
        <w:t xml:space="preserve">thus </w:t>
      </w:r>
      <w:r w:rsidR="00CC0AE0" w:rsidRPr="00CC0AE0">
        <w:rPr>
          <w:sz w:val="24"/>
          <w:szCs w:val="24"/>
        </w:rPr>
        <w:t xml:space="preserve">only </w:t>
      </w:r>
      <w:r w:rsidR="00375ABF" w:rsidRPr="00CC0AE0">
        <w:rPr>
          <w:sz w:val="24"/>
          <w:szCs w:val="24"/>
        </w:rPr>
        <w:t>served to underline the siloed nature of different sector involvement and the need for greater collaboration.   This also appeared to be the case in response to the present</w:t>
      </w:r>
      <w:r w:rsidR="00DD6D80">
        <w:rPr>
          <w:sz w:val="24"/>
          <w:szCs w:val="24"/>
        </w:rPr>
        <w:t>ly</w:t>
      </w:r>
      <w:r w:rsidR="00375ABF" w:rsidRPr="00CC0AE0">
        <w:rPr>
          <w:sz w:val="24"/>
          <w:szCs w:val="24"/>
        </w:rPr>
        <w:t xml:space="preserve"> perceived inadequacy of appropriate governance </w:t>
      </w:r>
      <w:r w:rsidR="006476C4" w:rsidRPr="00CC0AE0">
        <w:rPr>
          <w:sz w:val="24"/>
          <w:szCs w:val="24"/>
        </w:rPr>
        <w:t xml:space="preserve">in trade negotiations and agreements with a plethora of new departments and committees </w:t>
      </w:r>
      <w:r w:rsidR="00375ABF" w:rsidRPr="00CC0AE0">
        <w:rPr>
          <w:sz w:val="24"/>
          <w:szCs w:val="24"/>
        </w:rPr>
        <w:t>which</w:t>
      </w:r>
      <w:r w:rsidR="006476C4" w:rsidRPr="00CC0AE0">
        <w:rPr>
          <w:sz w:val="24"/>
          <w:szCs w:val="24"/>
        </w:rPr>
        <w:t xml:space="preserve"> will undoubtedly have implications for health and health equity</w:t>
      </w:r>
      <w:r w:rsidR="006476C4">
        <w:rPr>
          <w:rStyle w:val="EndnoteReference"/>
          <w:sz w:val="24"/>
          <w:szCs w:val="24"/>
        </w:rPr>
        <w:endnoteReference w:id="12"/>
      </w:r>
      <w:r w:rsidR="00375ABF" w:rsidRPr="00CC0AE0">
        <w:rPr>
          <w:sz w:val="24"/>
          <w:szCs w:val="24"/>
        </w:rPr>
        <w:t xml:space="preserve"> </w:t>
      </w:r>
      <w:r w:rsidR="006476C4">
        <w:rPr>
          <w:rStyle w:val="EndnoteReference"/>
          <w:sz w:val="24"/>
          <w:szCs w:val="24"/>
        </w:rPr>
        <w:endnoteReference w:id="13"/>
      </w:r>
      <w:r w:rsidR="00375ABF" w:rsidRPr="00CC0AE0">
        <w:rPr>
          <w:sz w:val="24"/>
          <w:szCs w:val="24"/>
        </w:rPr>
        <w:t>.</w:t>
      </w:r>
      <w:r w:rsidR="006476C4" w:rsidRPr="00CC0AE0">
        <w:rPr>
          <w:sz w:val="24"/>
          <w:szCs w:val="24"/>
        </w:rPr>
        <w:t xml:space="preserve"> </w:t>
      </w:r>
      <w:r w:rsidR="00375ABF" w:rsidRPr="00CC0AE0">
        <w:rPr>
          <w:sz w:val="24"/>
          <w:szCs w:val="24"/>
        </w:rPr>
        <w:t xml:space="preserve">  Some participants clearly felt that if PETRA </w:t>
      </w:r>
      <w:r w:rsidR="00CC0AE0" w:rsidRPr="00CC0AE0">
        <w:rPr>
          <w:sz w:val="24"/>
          <w:szCs w:val="24"/>
        </w:rPr>
        <w:t xml:space="preserve">were </w:t>
      </w:r>
      <w:r w:rsidR="00375ABF" w:rsidRPr="00CC0AE0">
        <w:rPr>
          <w:sz w:val="24"/>
          <w:szCs w:val="24"/>
        </w:rPr>
        <w:t xml:space="preserve">seeking involvement </w:t>
      </w:r>
      <w:r w:rsidR="004A45FC">
        <w:rPr>
          <w:sz w:val="24"/>
          <w:szCs w:val="24"/>
        </w:rPr>
        <w:t xml:space="preserve">in this sphere, </w:t>
      </w:r>
      <w:r w:rsidR="00375ABF" w:rsidRPr="00CC0AE0">
        <w:rPr>
          <w:sz w:val="24"/>
          <w:szCs w:val="24"/>
        </w:rPr>
        <w:t xml:space="preserve">then it would be important not to reinvent the wheel but to consider what alternative approaches or mechanisms there might be to counteract the </w:t>
      </w:r>
      <w:r w:rsidR="00CC0AE0" w:rsidRPr="00CC0AE0">
        <w:rPr>
          <w:sz w:val="24"/>
          <w:szCs w:val="24"/>
        </w:rPr>
        <w:t>implications.</w:t>
      </w:r>
    </w:p>
    <w:p w:rsidR="00CC0AE0" w:rsidRPr="00CC0AE0" w:rsidRDefault="00CC0AE0" w:rsidP="00CC0AE0">
      <w:pPr>
        <w:pStyle w:val="ListParagraph"/>
        <w:ind w:left="284"/>
        <w:rPr>
          <w:sz w:val="24"/>
          <w:szCs w:val="24"/>
        </w:rPr>
      </w:pPr>
    </w:p>
    <w:p w:rsidR="00C129FB" w:rsidRDefault="4B7889C5" w:rsidP="007C42BD">
      <w:pPr>
        <w:pStyle w:val="ListParagraph"/>
        <w:numPr>
          <w:ilvl w:val="0"/>
          <w:numId w:val="1"/>
        </w:numPr>
        <w:ind w:left="284" w:hanging="284"/>
        <w:rPr>
          <w:sz w:val="24"/>
          <w:szCs w:val="24"/>
        </w:rPr>
      </w:pPr>
      <w:r>
        <w:rPr>
          <w:sz w:val="24"/>
          <w:szCs w:val="24"/>
        </w:rPr>
        <w:t xml:space="preserve">It has been </w:t>
      </w:r>
      <w:r w:rsidR="007C42BD">
        <w:rPr>
          <w:sz w:val="24"/>
          <w:szCs w:val="24"/>
        </w:rPr>
        <w:t xml:space="preserve">argued that an understanding of the relationship between health, trade and the economy </w:t>
      </w:r>
      <w:r w:rsidR="00E50B4A">
        <w:rPr>
          <w:sz w:val="24"/>
          <w:szCs w:val="24"/>
        </w:rPr>
        <w:t>has to be a starting point and</w:t>
      </w:r>
      <w:r w:rsidR="007C42BD">
        <w:rPr>
          <w:sz w:val="24"/>
          <w:szCs w:val="24"/>
        </w:rPr>
        <w:t xml:space="preserve"> a prerequisite for </w:t>
      </w:r>
      <w:r w:rsidR="00FC28C5">
        <w:rPr>
          <w:sz w:val="24"/>
          <w:szCs w:val="24"/>
        </w:rPr>
        <w:t xml:space="preserve">the </w:t>
      </w:r>
      <w:r w:rsidR="007C42BD">
        <w:rPr>
          <w:sz w:val="24"/>
          <w:szCs w:val="24"/>
        </w:rPr>
        <w:t>development of any strategy.</w:t>
      </w:r>
      <w:r w:rsidR="00E50B4A" w:rsidRPr="00E50B4A">
        <w:rPr>
          <w:rStyle w:val="EndnoteReference"/>
          <w:sz w:val="24"/>
          <w:szCs w:val="24"/>
        </w:rPr>
        <w:t xml:space="preserve"> </w:t>
      </w:r>
      <w:r w:rsidR="00E50B4A">
        <w:rPr>
          <w:rStyle w:val="EndnoteReference"/>
          <w:sz w:val="24"/>
          <w:szCs w:val="24"/>
        </w:rPr>
        <w:endnoteReference w:id="14"/>
      </w:r>
      <w:r w:rsidR="00AA450A">
        <w:rPr>
          <w:sz w:val="24"/>
          <w:szCs w:val="24"/>
        </w:rPr>
        <w:t xml:space="preserve"> </w:t>
      </w:r>
      <w:r w:rsidR="00727C87">
        <w:rPr>
          <w:sz w:val="24"/>
          <w:szCs w:val="24"/>
        </w:rPr>
        <w:t>In general,</w:t>
      </w:r>
      <w:r w:rsidR="00700048">
        <w:rPr>
          <w:sz w:val="24"/>
          <w:szCs w:val="24"/>
        </w:rPr>
        <w:t xml:space="preserve"> tra</w:t>
      </w:r>
      <w:r w:rsidR="00DE4040">
        <w:rPr>
          <w:sz w:val="24"/>
          <w:szCs w:val="24"/>
        </w:rPr>
        <w:t xml:space="preserve">de is seen as an end in itself rather than as a means to achieving improved health, wellbeing and economic sustainability with </w:t>
      </w:r>
      <w:r w:rsidR="00700048">
        <w:rPr>
          <w:sz w:val="24"/>
          <w:szCs w:val="24"/>
        </w:rPr>
        <w:t>a tendency for the</w:t>
      </w:r>
      <w:r w:rsidR="00727C87">
        <w:rPr>
          <w:sz w:val="24"/>
          <w:szCs w:val="24"/>
        </w:rPr>
        <w:t xml:space="preserve"> relationship </w:t>
      </w:r>
      <w:r w:rsidR="005D0FCE">
        <w:rPr>
          <w:sz w:val="24"/>
          <w:szCs w:val="24"/>
        </w:rPr>
        <w:t xml:space="preserve">in international trade agreements </w:t>
      </w:r>
      <w:r w:rsidR="00727C87">
        <w:rPr>
          <w:sz w:val="24"/>
          <w:szCs w:val="24"/>
        </w:rPr>
        <w:t xml:space="preserve">to be </w:t>
      </w:r>
      <w:r w:rsidR="00EE5007">
        <w:rPr>
          <w:sz w:val="24"/>
          <w:szCs w:val="24"/>
        </w:rPr>
        <w:t>conceptualised</w:t>
      </w:r>
      <w:r w:rsidR="00727C87">
        <w:rPr>
          <w:sz w:val="24"/>
          <w:szCs w:val="24"/>
        </w:rPr>
        <w:t xml:space="preserve"> on </w:t>
      </w:r>
      <w:r w:rsidR="00700048">
        <w:rPr>
          <w:sz w:val="24"/>
          <w:szCs w:val="24"/>
        </w:rPr>
        <w:t>a rule/</w:t>
      </w:r>
      <w:r w:rsidR="00727C87">
        <w:rPr>
          <w:sz w:val="24"/>
          <w:szCs w:val="24"/>
        </w:rPr>
        <w:t>exception</w:t>
      </w:r>
      <w:r w:rsidR="00700048">
        <w:rPr>
          <w:sz w:val="24"/>
          <w:szCs w:val="24"/>
        </w:rPr>
        <w:t xml:space="preserve"> basis</w:t>
      </w:r>
      <w:r w:rsidR="003071B9">
        <w:rPr>
          <w:rStyle w:val="EndnoteReference"/>
          <w:sz w:val="24"/>
          <w:szCs w:val="24"/>
        </w:rPr>
        <w:endnoteReference w:id="15"/>
      </w:r>
      <w:r w:rsidR="00700048">
        <w:rPr>
          <w:sz w:val="24"/>
          <w:szCs w:val="24"/>
        </w:rPr>
        <w:t xml:space="preserve">.  </w:t>
      </w:r>
      <w:r w:rsidR="00AA450A">
        <w:rPr>
          <w:sz w:val="24"/>
          <w:szCs w:val="24"/>
        </w:rPr>
        <w:t xml:space="preserve"> If </w:t>
      </w:r>
      <w:r w:rsidR="00062C3E">
        <w:rPr>
          <w:sz w:val="24"/>
          <w:szCs w:val="24"/>
        </w:rPr>
        <w:t>it is not acknowledged</w:t>
      </w:r>
      <w:r w:rsidR="00E91CF5">
        <w:rPr>
          <w:sz w:val="24"/>
          <w:szCs w:val="24"/>
        </w:rPr>
        <w:t xml:space="preserve"> that health and</w:t>
      </w:r>
      <w:r w:rsidR="000E0452">
        <w:rPr>
          <w:sz w:val="24"/>
          <w:szCs w:val="24"/>
        </w:rPr>
        <w:t>,</w:t>
      </w:r>
      <w:r w:rsidR="00E91CF5">
        <w:rPr>
          <w:sz w:val="24"/>
          <w:szCs w:val="24"/>
        </w:rPr>
        <w:t xml:space="preserve"> likewise, trade, </w:t>
      </w:r>
      <w:r w:rsidR="00062C3E">
        <w:rPr>
          <w:sz w:val="24"/>
          <w:szCs w:val="24"/>
        </w:rPr>
        <w:t>is both an investment and an economic asset</w:t>
      </w:r>
      <w:r w:rsidR="00AA450A">
        <w:rPr>
          <w:sz w:val="24"/>
          <w:szCs w:val="24"/>
        </w:rPr>
        <w:t xml:space="preserve"> then it </w:t>
      </w:r>
      <w:r w:rsidR="000E0452">
        <w:rPr>
          <w:sz w:val="24"/>
          <w:szCs w:val="24"/>
        </w:rPr>
        <w:t>may</w:t>
      </w:r>
      <w:r w:rsidR="00062C3E">
        <w:rPr>
          <w:sz w:val="24"/>
          <w:szCs w:val="24"/>
        </w:rPr>
        <w:t xml:space="preserve"> make it harder </w:t>
      </w:r>
      <w:r w:rsidR="00AA450A">
        <w:rPr>
          <w:sz w:val="24"/>
          <w:szCs w:val="24"/>
        </w:rPr>
        <w:t>to influence appropriate policies</w:t>
      </w:r>
      <w:r w:rsidR="00E50B4A">
        <w:rPr>
          <w:sz w:val="24"/>
          <w:szCs w:val="24"/>
        </w:rPr>
        <w:t xml:space="preserve">. </w:t>
      </w:r>
      <w:r w:rsidR="00D46D5F">
        <w:rPr>
          <w:sz w:val="24"/>
          <w:szCs w:val="24"/>
        </w:rPr>
        <w:t xml:space="preserve"> </w:t>
      </w:r>
      <w:r w:rsidR="00441CCF">
        <w:rPr>
          <w:sz w:val="24"/>
          <w:szCs w:val="24"/>
        </w:rPr>
        <w:t>T</w:t>
      </w:r>
      <w:r w:rsidR="000E0452">
        <w:rPr>
          <w:sz w:val="24"/>
          <w:szCs w:val="24"/>
        </w:rPr>
        <w:t xml:space="preserve">here </w:t>
      </w:r>
      <w:r w:rsidR="0014651C">
        <w:rPr>
          <w:sz w:val="24"/>
          <w:szCs w:val="24"/>
        </w:rPr>
        <w:t>was</w:t>
      </w:r>
      <w:r w:rsidR="00441CCF">
        <w:rPr>
          <w:sz w:val="24"/>
          <w:szCs w:val="24"/>
        </w:rPr>
        <w:t xml:space="preserve">, too, </w:t>
      </w:r>
      <w:r w:rsidR="0014651C">
        <w:rPr>
          <w:sz w:val="24"/>
          <w:szCs w:val="24"/>
        </w:rPr>
        <w:t>a body of opinion at the Sandp</w:t>
      </w:r>
      <w:r w:rsidR="000E0452">
        <w:rPr>
          <w:sz w:val="24"/>
          <w:szCs w:val="24"/>
        </w:rPr>
        <w:t>i</w:t>
      </w:r>
      <w:r w:rsidR="0014651C">
        <w:rPr>
          <w:sz w:val="24"/>
          <w:szCs w:val="24"/>
        </w:rPr>
        <w:t>t Exercise that both underlined and questioned the tension between trade</w:t>
      </w:r>
      <w:r w:rsidR="003071B9">
        <w:rPr>
          <w:sz w:val="24"/>
          <w:szCs w:val="24"/>
        </w:rPr>
        <w:t>,</w:t>
      </w:r>
      <w:r w:rsidR="0014651C">
        <w:rPr>
          <w:sz w:val="24"/>
          <w:szCs w:val="24"/>
        </w:rPr>
        <w:t xml:space="preserve"> </w:t>
      </w:r>
      <w:r w:rsidR="008459D7">
        <w:rPr>
          <w:sz w:val="24"/>
          <w:szCs w:val="24"/>
        </w:rPr>
        <w:t>given its potential positive effect on the economy</w:t>
      </w:r>
      <w:r w:rsidR="003071B9">
        <w:rPr>
          <w:sz w:val="24"/>
          <w:szCs w:val="24"/>
        </w:rPr>
        <w:t>,</w:t>
      </w:r>
      <w:r w:rsidR="008459D7">
        <w:rPr>
          <w:sz w:val="24"/>
          <w:szCs w:val="24"/>
        </w:rPr>
        <w:t xml:space="preserve"> and the accompanying need </w:t>
      </w:r>
      <w:r w:rsidR="0014651C">
        <w:rPr>
          <w:sz w:val="24"/>
          <w:szCs w:val="24"/>
        </w:rPr>
        <w:t xml:space="preserve">to stem the flow of unhealthy products such as alcohol, tobacco </w:t>
      </w:r>
      <w:r w:rsidR="00FA2241">
        <w:rPr>
          <w:sz w:val="24"/>
          <w:szCs w:val="24"/>
        </w:rPr>
        <w:t>and unh</w:t>
      </w:r>
      <w:r w:rsidR="00AE271C">
        <w:rPr>
          <w:sz w:val="24"/>
          <w:szCs w:val="24"/>
        </w:rPr>
        <w:t xml:space="preserve">ealthy food and the rise of </w:t>
      </w:r>
      <w:r w:rsidR="00FA2241">
        <w:rPr>
          <w:sz w:val="24"/>
          <w:szCs w:val="24"/>
        </w:rPr>
        <w:t xml:space="preserve">NCDs.  </w:t>
      </w:r>
      <w:r w:rsidR="008459D7">
        <w:rPr>
          <w:sz w:val="24"/>
          <w:szCs w:val="24"/>
        </w:rPr>
        <w:t xml:space="preserve"> </w:t>
      </w:r>
    </w:p>
    <w:p w:rsidR="00C129FB" w:rsidRDefault="00C129FB" w:rsidP="00C129FB">
      <w:pPr>
        <w:pStyle w:val="ListParagraph"/>
        <w:ind w:left="284"/>
        <w:rPr>
          <w:sz w:val="24"/>
          <w:szCs w:val="24"/>
        </w:rPr>
      </w:pPr>
    </w:p>
    <w:p w:rsidR="006C454C" w:rsidRDefault="00752649" w:rsidP="007C42BD">
      <w:pPr>
        <w:pStyle w:val="ListParagraph"/>
        <w:numPr>
          <w:ilvl w:val="0"/>
          <w:numId w:val="1"/>
        </w:numPr>
        <w:ind w:left="284" w:hanging="284"/>
        <w:rPr>
          <w:sz w:val="24"/>
          <w:szCs w:val="24"/>
        </w:rPr>
      </w:pPr>
      <w:r>
        <w:rPr>
          <w:sz w:val="24"/>
          <w:szCs w:val="24"/>
        </w:rPr>
        <w:t>T</w:t>
      </w:r>
      <w:r w:rsidR="00E10E2C">
        <w:rPr>
          <w:sz w:val="24"/>
          <w:szCs w:val="24"/>
        </w:rPr>
        <w:t xml:space="preserve">he complexity of the link between NCDs and trade negotiations </w:t>
      </w:r>
      <w:r w:rsidR="00FA2241">
        <w:rPr>
          <w:sz w:val="24"/>
          <w:szCs w:val="24"/>
        </w:rPr>
        <w:t>raise</w:t>
      </w:r>
      <w:r w:rsidR="00701321">
        <w:rPr>
          <w:sz w:val="24"/>
          <w:szCs w:val="24"/>
        </w:rPr>
        <w:t>s</w:t>
      </w:r>
      <w:r w:rsidR="00FA2241">
        <w:rPr>
          <w:sz w:val="24"/>
          <w:szCs w:val="24"/>
        </w:rPr>
        <w:t xml:space="preserve"> a further challenge for PETRA</w:t>
      </w:r>
      <w:r w:rsidR="00FC28C5">
        <w:rPr>
          <w:sz w:val="24"/>
          <w:szCs w:val="24"/>
        </w:rPr>
        <w:t>;</w:t>
      </w:r>
      <w:r w:rsidR="00FA2241">
        <w:rPr>
          <w:sz w:val="24"/>
          <w:szCs w:val="24"/>
        </w:rPr>
        <w:t xml:space="preserve"> Sandpit participants queried whether PETRA should </w:t>
      </w:r>
      <w:r w:rsidR="00AE271C">
        <w:rPr>
          <w:sz w:val="24"/>
          <w:szCs w:val="24"/>
        </w:rPr>
        <w:t>develop</w:t>
      </w:r>
      <w:r w:rsidR="00FA2241">
        <w:rPr>
          <w:sz w:val="24"/>
          <w:szCs w:val="24"/>
        </w:rPr>
        <w:t xml:space="preserve"> a wider role and include </w:t>
      </w:r>
      <w:r w:rsidR="005E6C98">
        <w:rPr>
          <w:sz w:val="24"/>
          <w:szCs w:val="24"/>
        </w:rPr>
        <w:t xml:space="preserve">mental health as well as </w:t>
      </w:r>
      <w:r w:rsidR="00FA2241">
        <w:rPr>
          <w:sz w:val="24"/>
          <w:szCs w:val="24"/>
        </w:rPr>
        <w:t xml:space="preserve">broader determinants of health such as pollution, climate change, the environment, planetary health, animal welfare and so on.  </w:t>
      </w:r>
      <w:r w:rsidR="00A655DD">
        <w:rPr>
          <w:sz w:val="24"/>
          <w:szCs w:val="24"/>
        </w:rPr>
        <w:t>E</w:t>
      </w:r>
      <w:r w:rsidR="00FA2241">
        <w:rPr>
          <w:sz w:val="24"/>
          <w:szCs w:val="24"/>
        </w:rPr>
        <w:t xml:space="preserve">qually there was a view aired that </w:t>
      </w:r>
      <w:r w:rsidR="00AE271C">
        <w:rPr>
          <w:sz w:val="24"/>
          <w:szCs w:val="24"/>
        </w:rPr>
        <w:t>PETRA might concentrate</w:t>
      </w:r>
      <w:r w:rsidR="00AB27EF">
        <w:rPr>
          <w:sz w:val="24"/>
          <w:szCs w:val="24"/>
        </w:rPr>
        <w:t xml:space="preserve"> on </w:t>
      </w:r>
      <w:r w:rsidR="00FA2241">
        <w:rPr>
          <w:sz w:val="24"/>
          <w:szCs w:val="24"/>
        </w:rPr>
        <w:t xml:space="preserve">services such as gambling, digital marketing and social media </w:t>
      </w:r>
      <w:r w:rsidR="00AE271C">
        <w:rPr>
          <w:sz w:val="24"/>
          <w:szCs w:val="24"/>
        </w:rPr>
        <w:t>since they were of</w:t>
      </w:r>
      <w:r w:rsidR="00FA2241">
        <w:rPr>
          <w:sz w:val="24"/>
          <w:szCs w:val="24"/>
        </w:rPr>
        <w:t xml:space="preserve"> equal </w:t>
      </w:r>
      <w:r w:rsidR="005E6C98">
        <w:rPr>
          <w:sz w:val="24"/>
          <w:szCs w:val="24"/>
        </w:rPr>
        <w:t>importance</w:t>
      </w:r>
      <w:r>
        <w:rPr>
          <w:sz w:val="24"/>
          <w:szCs w:val="24"/>
        </w:rPr>
        <w:t xml:space="preserve"> to goods</w:t>
      </w:r>
      <w:r w:rsidR="005E6C98">
        <w:rPr>
          <w:sz w:val="24"/>
          <w:szCs w:val="24"/>
        </w:rPr>
        <w:t xml:space="preserve">. </w:t>
      </w:r>
      <w:r w:rsidR="00A655DD">
        <w:rPr>
          <w:sz w:val="24"/>
          <w:szCs w:val="24"/>
        </w:rPr>
        <w:t xml:space="preserve">Attention </w:t>
      </w:r>
      <w:r w:rsidR="39C6A843">
        <w:rPr>
          <w:sz w:val="24"/>
          <w:szCs w:val="24"/>
        </w:rPr>
        <w:t xml:space="preserve">was also drawn </w:t>
      </w:r>
      <w:r w:rsidR="00A655DD">
        <w:rPr>
          <w:sz w:val="24"/>
          <w:szCs w:val="24"/>
        </w:rPr>
        <w:t>to the United Nations Sustainable Development Goals (SDGs)</w:t>
      </w:r>
      <w:r w:rsidR="00A655DD">
        <w:rPr>
          <w:rStyle w:val="EndnoteReference"/>
          <w:sz w:val="24"/>
          <w:szCs w:val="24"/>
        </w:rPr>
        <w:endnoteReference w:id="16"/>
      </w:r>
      <w:r w:rsidR="00A655DD">
        <w:rPr>
          <w:sz w:val="24"/>
          <w:szCs w:val="24"/>
        </w:rPr>
        <w:t xml:space="preserve">  thus further extending </w:t>
      </w:r>
      <w:r w:rsidR="0A26AFC1">
        <w:rPr>
          <w:sz w:val="24"/>
          <w:szCs w:val="24"/>
        </w:rPr>
        <w:t xml:space="preserve">PETRA’s </w:t>
      </w:r>
      <w:r w:rsidR="00AE561A">
        <w:rPr>
          <w:sz w:val="24"/>
          <w:szCs w:val="24"/>
        </w:rPr>
        <w:t>remit.</w:t>
      </w:r>
    </w:p>
    <w:p w:rsidR="005E6C98" w:rsidRDefault="005E6C98" w:rsidP="005E6C98">
      <w:pPr>
        <w:pStyle w:val="ListParagraph"/>
        <w:ind w:left="284"/>
        <w:rPr>
          <w:sz w:val="24"/>
          <w:szCs w:val="24"/>
        </w:rPr>
      </w:pPr>
    </w:p>
    <w:p w:rsidR="000E792D" w:rsidRDefault="00441CCF" w:rsidP="000E792D">
      <w:pPr>
        <w:pStyle w:val="ListParagraph"/>
        <w:numPr>
          <w:ilvl w:val="0"/>
          <w:numId w:val="1"/>
        </w:numPr>
        <w:ind w:left="284" w:hanging="284"/>
        <w:rPr>
          <w:sz w:val="24"/>
          <w:szCs w:val="24"/>
        </w:rPr>
      </w:pPr>
      <w:r>
        <w:rPr>
          <w:sz w:val="24"/>
          <w:szCs w:val="24"/>
        </w:rPr>
        <w:lastRenderedPageBreak/>
        <w:t xml:space="preserve">The need for </w:t>
      </w:r>
      <w:r w:rsidR="2085F6AA">
        <w:rPr>
          <w:sz w:val="24"/>
          <w:szCs w:val="24"/>
        </w:rPr>
        <w:t xml:space="preserve">closer </w:t>
      </w:r>
      <w:r w:rsidR="00E50B4A" w:rsidRPr="00173B52">
        <w:rPr>
          <w:sz w:val="24"/>
          <w:szCs w:val="24"/>
        </w:rPr>
        <w:t xml:space="preserve">links between the silos of the Department of Health and Social Care and the Department of International Trade </w:t>
      </w:r>
      <w:r w:rsidR="00083D26">
        <w:rPr>
          <w:sz w:val="24"/>
          <w:szCs w:val="24"/>
        </w:rPr>
        <w:t>was considered</w:t>
      </w:r>
      <w:r>
        <w:rPr>
          <w:sz w:val="24"/>
          <w:szCs w:val="24"/>
        </w:rPr>
        <w:t xml:space="preserve"> paramount </w:t>
      </w:r>
      <w:r w:rsidR="00E50B4A" w:rsidRPr="00173B52">
        <w:rPr>
          <w:sz w:val="24"/>
          <w:szCs w:val="24"/>
        </w:rPr>
        <w:t xml:space="preserve">but it </w:t>
      </w:r>
      <w:r w:rsidR="00D46D5F" w:rsidRPr="00173B52">
        <w:rPr>
          <w:sz w:val="24"/>
          <w:szCs w:val="24"/>
        </w:rPr>
        <w:t>additionally</w:t>
      </w:r>
      <w:r w:rsidR="00E50B4A" w:rsidRPr="00173B52">
        <w:rPr>
          <w:sz w:val="24"/>
          <w:szCs w:val="24"/>
        </w:rPr>
        <w:t xml:space="preserve"> demand</w:t>
      </w:r>
      <w:r>
        <w:rPr>
          <w:sz w:val="24"/>
          <w:szCs w:val="24"/>
        </w:rPr>
        <w:t>s</w:t>
      </w:r>
      <w:r w:rsidR="00E50B4A" w:rsidRPr="00173B52">
        <w:rPr>
          <w:sz w:val="24"/>
          <w:szCs w:val="24"/>
        </w:rPr>
        <w:t xml:space="preserve"> a whole of government approach, working across the disciplines of public health, economics and law</w:t>
      </w:r>
      <w:r w:rsidR="00E50B4A">
        <w:rPr>
          <w:rStyle w:val="EndnoteReference"/>
          <w:sz w:val="24"/>
          <w:szCs w:val="24"/>
        </w:rPr>
        <w:endnoteReference w:id="17"/>
      </w:r>
      <w:r w:rsidR="00E50B4A" w:rsidRPr="00173B52">
        <w:rPr>
          <w:sz w:val="24"/>
          <w:szCs w:val="24"/>
        </w:rPr>
        <w:t xml:space="preserve">.  </w:t>
      </w:r>
      <w:r w:rsidR="00E860E9" w:rsidRPr="00173B52">
        <w:rPr>
          <w:sz w:val="24"/>
          <w:szCs w:val="24"/>
        </w:rPr>
        <w:t xml:space="preserve">Inherent in this </w:t>
      </w:r>
      <w:r w:rsidR="00F616CF">
        <w:rPr>
          <w:sz w:val="24"/>
          <w:szCs w:val="24"/>
        </w:rPr>
        <w:t>is</w:t>
      </w:r>
      <w:r w:rsidR="00E860E9" w:rsidRPr="00173B52">
        <w:rPr>
          <w:sz w:val="24"/>
          <w:szCs w:val="24"/>
        </w:rPr>
        <w:t xml:space="preserve"> the</w:t>
      </w:r>
      <w:r w:rsidR="00173B52" w:rsidRPr="00173B52">
        <w:rPr>
          <w:sz w:val="24"/>
          <w:szCs w:val="24"/>
        </w:rPr>
        <w:t xml:space="preserve"> difficulty but </w:t>
      </w:r>
      <w:r w:rsidR="00E860E9" w:rsidRPr="00173B52">
        <w:rPr>
          <w:sz w:val="24"/>
          <w:szCs w:val="24"/>
        </w:rPr>
        <w:t>necessity of strengthening public health literacy among parliamentarians</w:t>
      </w:r>
      <w:r w:rsidR="00173B52" w:rsidRPr="00173B52">
        <w:rPr>
          <w:sz w:val="24"/>
          <w:szCs w:val="24"/>
        </w:rPr>
        <w:t xml:space="preserve">.  Ensuring an understanding of both trade and health </w:t>
      </w:r>
      <w:r w:rsidR="00173B52">
        <w:rPr>
          <w:sz w:val="24"/>
          <w:szCs w:val="24"/>
        </w:rPr>
        <w:t>is held by both respective communities should not be underestimated</w:t>
      </w:r>
      <w:r w:rsidR="00173B52">
        <w:rPr>
          <w:rStyle w:val="EndnoteReference"/>
          <w:sz w:val="24"/>
          <w:szCs w:val="24"/>
        </w:rPr>
        <w:endnoteReference w:id="18"/>
      </w:r>
      <w:r w:rsidR="00897952">
        <w:rPr>
          <w:sz w:val="24"/>
          <w:szCs w:val="24"/>
        </w:rPr>
        <w:t xml:space="preserve"> </w:t>
      </w:r>
      <w:r w:rsidR="00355121">
        <w:rPr>
          <w:sz w:val="24"/>
          <w:szCs w:val="24"/>
        </w:rPr>
        <w:t xml:space="preserve">and there have been repeated calls for inter-disciplinary work, not least to grapple with the health and trade interface. </w:t>
      </w:r>
      <w:r w:rsidR="00506F55">
        <w:rPr>
          <w:sz w:val="24"/>
          <w:szCs w:val="24"/>
        </w:rPr>
        <w:t xml:space="preserve">Public health has to be convinced of the complexity and value of a law-based response </w:t>
      </w:r>
      <w:r w:rsidR="00AB27EF">
        <w:rPr>
          <w:sz w:val="24"/>
          <w:szCs w:val="24"/>
        </w:rPr>
        <w:t xml:space="preserve">that </w:t>
      </w:r>
      <w:r w:rsidR="00506F55">
        <w:rPr>
          <w:sz w:val="24"/>
          <w:szCs w:val="24"/>
        </w:rPr>
        <w:t xml:space="preserve">might address major public health challenges.  </w:t>
      </w:r>
      <w:r w:rsidR="00355121">
        <w:rPr>
          <w:sz w:val="24"/>
          <w:szCs w:val="24"/>
        </w:rPr>
        <w:t>Although t</w:t>
      </w:r>
      <w:r w:rsidR="00897952">
        <w:rPr>
          <w:sz w:val="24"/>
          <w:szCs w:val="24"/>
        </w:rPr>
        <w:t xml:space="preserve">he challenge of up-skilling among both trade and health experts was </w:t>
      </w:r>
      <w:r w:rsidR="00355121">
        <w:rPr>
          <w:sz w:val="24"/>
          <w:szCs w:val="24"/>
        </w:rPr>
        <w:t>very much acknowledged</w:t>
      </w:r>
      <w:r w:rsidR="00897952">
        <w:rPr>
          <w:sz w:val="24"/>
          <w:szCs w:val="24"/>
        </w:rPr>
        <w:t xml:space="preserve"> during discussions with the possible onus on PETRA to develop and facilitate such sustai</w:t>
      </w:r>
      <w:r w:rsidR="00355121">
        <w:rPr>
          <w:sz w:val="24"/>
          <w:szCs w:val="24"/>
        </w:rPr>
        <w:t>nable relationships and funding, the reality of joint working was clouded by different</w:t>
      </w:r>
      <w:r w:rsidR="00DB2C6B">
        <w:rPr>
          <w:sz w:val="24"/>
          <w:szCs w:val="24"/>
        </w:rPr>
        <w:t xml:space="preserve"> academic</w:t>
      </w:r>
      <w:r w:rsidR="00355121">
        <w:rPr>
          <w:sz w:val="24"/>
          <w:szCs w:val="24"/>
        </w:rPr>
        <w:t xml:space="preserve"> frameworks within the two disciplines </w:t>
      </w:r>
      <w:r w:rsidR="2DDA9E55">
        <w:rPr>
          <w:sz w:val="24"/>
          <w:szCs w:val="24"/>
        </w:rPr>
        <w:t xml:space="preserve">accompanied by </w:t>
      </w:r>
      <w:r w:rsidR="000B3B31">
        <w:rPr>
          <w:sz w:val="24"/>
          <w:szCs w:val="24"/>
        </w:rPr>
        <w:t xml:space="preserve"> difficulties of </w:t>
      </w:r>
      <w:r w:rsidR="00355121">
        <w:rPr>
          <w:sz w:val="24"/>
          <w:szCs w:val="24"/>
        </w:rPr>
        <w:t xml:space="preserve">language and terminology.   </w:t>
      </w:r>
    </w:p>
    <w:p w:rsidR="0095402D" w:rsidRPr="00173B52" w:rsidRDefault="0095402D" w:rsidP="0095402D">
      <w:pPr>
        <w:pStyle w:val="ListParagraph"/>
        <w:ind w:left="284"/>
        <w:rPr>
          <w:sz w:val="24"/>
          <w:szCs w:val="24"/>
        </w:rPr>
      </w:pPr>
    </w:p>
    <w:p w:rsidR="00654F11" w:rsidRDefault="00510693" w:rsidP="00654F11">
      <w:pPr>
        <w:pStyle w:val="ListParagraph"/>
        <w:numPr>
          <w:ilvl w:val="0"/>
          <w:numId w:val="1"/>
        </w:numPr>
        <w:ind w:left="284" w:hanging="284"/>
        <w:rPr>
          <w:sz w:val="24"/>
          <w:szCs w:val="24"/>
        </w:rPr>
      </w:pPr>
      <w:r w:rsidRPr="5E3CD0B0">
        <w:rPr>
          <w:sz w:val="24"/>
          <w:szCs w:val="24"/>
        </w:rPr>
        <w:t xml:space="preserve">Clearly, </w:t>
      </w:r>
      <w:r w:rsidR="00355121" w:rsidRPr="5E3CD0B0">
        <w:rPr>
          <w:sz w:val="24"/>
          <w:szCs w:val="24"/>
        </w:rPr>
        <w:t xml:space="preserve">too, </w:t>
      </w:r>
      <w:r w:rsidRPr="5E3CD0B0">
        <w:rPr>
          <w:sz w:val="24"/>
          <w:szCs w:val="24"/>
        </w:rPr>
        <w:t xml:space="preserve">there appeared to be a need to blend both academic and non-academic research but </w:t>
      </w:r>
      <w:r w:rsidR="00355121" w:rsidRPr="5E3CD0B0">
        <w:rPr>
          <w:sz w:val="24"/>
          <w:szCs w:val="24"/>
        </w:rPr>
        <w:t xml:space="preserve">it was queried </w:t>
      </w:r>
      <w:r w:rsidRPr="5E3CD0B0">
        <w:rPr>
          <w:sz w:val="24"/>
          <w:szCs w:val="24"/>
        </w:rPr>
        <w:t xml:space="preserve">at the Sandpit </w:t>
      </w:r>
      <w:r w:rsidR="00355121" w:rsidRPr="5E3CD0B0">
        <w:rPr>
          <w:sz w:val="24"/>
          <w:szCs w:val="24"/>
        </w:rPr>
        <w:t>as to whether</w:t>
      </w:r>
      <w:r w:rsidRPr="5E3CD0B0">
        <w:rPr>
          <w:sz w:val="24"/>
          <w:szCs w:val="24"/>
        </w:rPr>
        <w:t xml:space="preserve"> </w:t>
      </w:r>
      <w:r w:rsidR="00E35DB1" w:rsidRPr="5E3CD0B0">
        <w:rPr>
          <w:sz w:val="24"/>
          <w:szCs w:val="24"/>
        </w:rPr>
        <w:t xml:space="preserve">academics were necessarily </w:t>
      </w:r>
      <w:r w:rsidRPr="5E3CD0B0">
        <w:rPr>
          <w:sz w:val="24"/>
          <w:szCs w:val="24"/>
        </w:rPr>
        <w:t xml:space="preserve">the right group to </w:t>
      </w:r>
      <w:r w:rsidR="00355121" w:rsidRPr="5E3CD0B0">
        <w:rPr>
          <w:sz w:val="24"/>
          <w:szCs w:val="24"/>
        </w:rPr>
        <w:t xml:space="preserve">frame the research </w:t>
      </w:r>
      <w:r w:rsidR="001425B3" w:rsidRPr="5E3CD0B0">
        <w:rPr>
          <w:sz w:val="24"/>
          <w:szCs w:val="24"/>
        </w:rPr>
        <w:t xml:space="preserve">in a way that might resonate </w:t>
      </w:r>
      <w:r w:rsidR="06DC5DC6" w:rsidRPr="5E3CD0B0">
        <w:rPr>
          <w:sz w:val="24"/>
          <w:szCs w:val="24"/>
        </w:rPr>
        <w:t xml:space="preserve">with </w:t>
      </w:r>
      <w:r w:rsidR="00355121" w:rsidRPr="5E3CD0B0">
        <w:rPr>
          <w:sz w:val="24"/>
          <w:szCs w:val="24"/>
        </w:rPr>
        <w:t xml:space="preserve">politicians or </w:t>
      </w:r>
      <w:r w:rsidR="001425B3" w:rsidRPr="5E3CD0B0">
        <w:rPr>
          <w:sz w:val="24"/>
          <w:szCs w:val="24"/>
        </w:rPr>
        <w:t>trade policy actors</w:t>
      </w:r>
      <w:r w:rsidR="00E35DB1" w:rsidRPr="5E3CD0B0">
        <w:rPr>
          <w:sz w:val="24"/>
          <w:szCs w:val="24"/>
        </w:rPr>
        <w:t>.</w:t>
      </w:r>
      <w:r w:rsidR="00D83FFE" w:rsidRPr="5E3CD0B0">
        <w:rPr>
          <w:sz w:val="24"/>
          <w:szCs w:val="24"/>
        </w:rPr>
        <w:t xml:space="preserve"> </w:t>
      </w:r>
      <w:r w:rsidR="00E35DB1" w:rsidRPr="5E3CD0B0">
        <w:rPr>
          <w:sz w:val="24"/>
          <w:szCs w:val="24"/>
        </w:rPr>
        <w:t xml:space="preserve">  Collaboration, though, might also involve a range of stakeholders including poli</w:t>
      </w:r>
      <w:r w:rsidR="00104246" w:rsidRPr="5E3CD0B0">
        <w:rPr>
          <w:sz w:val="24"/>
          <w:szCs w:val="24"/>
        </w:rPr>
        <w:t>tical</w:t>
      </w:r>
      <w:r w:rsidR="00E35DB1" w:rsidRPr="5E3CD0B0">
        <w:rPr>
          <w:sz w:val="24"/>
          <w:szCs w:val="24"/>
        </w:rPr>
        <w:t xml:space="preserve"> lobbyists and strategists, trade unions, technical advisers and commercial actors. Working with the latter, nonetheless, may invoke conflict of interests</w:t>
      </w:r>
      <w:r w:rsidR="008810D5" w:rsidRPr="5E3CD0B0">
        <w:rPr>
          <w:sz w:val="24"/>
          <w:szCs w:val="24"/>
        </w:rPr>
        <w:t xml:space="preserve"> and </w:t>
      </w:r>
      <w:r w:rsidR="00E35DB1" w:rsidRPr="5E3CD0B0">
        <w:rPr>
          <w:sz w:val="24"/>
          <w:szCs w:val="24"/>
        </w:rPr>
        <w:t>their responsibility may</w:t>
      </w:r>
      <w:r w:rsidR="6A31F5A2" w:rsidRPr="5E3CD0B0">
        <w:rPr>
          <w:sz w:val="24"/>
          <w:szCs w:val="24"/>
        </w:rPr>
        <w:t xml:space="preserve"> </w:t>
      </w:r>
      <w:r w:rsidR="00E35DB1" w:rsidRPr="5E3CD0B0">
        <w:rPr>
          <w:sz w:val="24"/>
          <w:szCs w:val="24"/>
        </w:rPr>
        <w:t xml:space="preserve">be to their shareholders </w:t>
      </w:r>
      <w:r w:rsidR="00654F11" w:rsidRPr="5E3CD0B0">
        <w:rPr>
          <w:sz w:val="24"/>
          <w:szCs w:val="24"/>
        </w:rPr>
        <w:t xml:space="preserve">thus making it harder </w:t>
      </w:r>
      <w:r w:rsidR="00E35DB1" w:rsidRPr="5E3CD0B0">
        <w:rPr>
          <w:sz w:val="24"/>
          <w:szCs w:val="24"/>
        </w:rPr>
        <w:t xml:space="preserve">to find common ground. </w:t>
      </w:r>
      <w:r w:rsidR="00104246" w:rsidRPr="5E3CD0B0">
        <w:rPr>
          <w:sz w:val="24"/>
          <w:szCs w:val="24"/>
        </w:rPr>
        <w:t xml:space="preserve"> Critical, however, was for </w:t>
      </w:r>
      <w:r w:rsidR="001425B3" w:rsidRPr="5E3CD0B0">
        <w:rPr>
          <w:sz w:val="24"/>
          <w:szCs w:val="24"/>
        </w:rPr>
        <w:t xml:space="preserve">the third sector to be involved given their wide experience in advocacy and lobbying and </w:t>
      </w:r>
      <w:r w:rsidR="17A2FFD1" w:rsidRPr="5E3CD0B0">
        <w:rPr>
          <w:sz w:val="24"/>
          <w:szCs w:val="24"/>
        </w:rPr>
        <w:t xml:space="preserve">in providing </w:t>
      </w:r>
      <w:r w:rsidR="001425B3" w:rsidRPr="5E3CD0B0">
        <w:rPr>
          <w:sz w:val="24"/>
          <w:szCs w:val="24"/>
        </w:rPr>
        <w:t xml:space="preserve"> an opportunity for PETRA to work with those organisations that had been campaigning on trade </w:t>
      </w:r>
      <w:r w:rsidR="581BEF51" w:rsidRPr="5E3CD0B0">
        <w:rPr>
          <w:sz w:val="24"/>
          <w:szCs w:val="24"/>
        </w:rPr>
        <w:t xml:space="preserve">issues </w:t>
      </w:r>
      <w:r w:rsidR="001425B3" w:rsidRPr="5E3CD0B0">
        <w:rPr>
          <w:sz w:val="24"/>
          <w:szCs w:val="24"/>
        </w:rPr>
        <w:t>for some considerable time.  For PETRA to find and negotiate the appropriate collaborative relationship as an academic and research funded body may prove challenging given the differences in the nature of the work and of the approach, but</w:t>
      </w:r>
      <w:r w:rsidR="002E30ED" w:rsidRPr="5E3CD0B0">
        <w:rPr>
          <w:sz w:val="24"/>
          <w:szCs w:val="24"/>
        </w:rPr>
        <w:t xml:space="preserve"> </w:t>
      </w:r>
      <w:r w:rsidR="001425B3" w:rsidRPr="5E3CD0B0">
        <w:rPr>
          <w:sz w:val="24"/>
          <w:szCs w:val="24"/>
        </w:rPr>
        <w:t xml:space="preserve">it will be imperative to set </w:t>
      </w:r>
      <w:r w:rsidR="00AB27EF" w:rsidRPr="5E3CD0B0">
        <w:rPr>
          <w:sz w:val="24"/>
          <w:szCs w:val="24"/>
        </w:rPr>
        <w:t>its</w:t>
      </w:r>
      <w:r w:rsidR="001425B3" w:rsidRPr="5E3CD0B0">
        <w:rPr>
          <w:sz w:val="24"/>
          <w:szCs w:val="24"/>
        </w:rPr>
        <w:t xml:space="preserve"> work against a landscape</w:t>
      </w:r>
      <w:r w:rsidR="000B3B31" w:rsidRPr="5E3CD0B0">
        <w:rPr>
          <w:sz w:val="24"/>
          <w:szCs w:val="24"/>
        </w:rPr>
        <w:t xml:space="preserve"> that</w:t>
      </w:r>
      <w:r w:rsidR="001425B3" w:rsidRPr="5E3CD0B0">
        <w:rPr>
          <w:sz w:val="24"/>
          <w:szCs w:val="24"/>
        </w:rPr>
        <w:t xml:space="preserve"> is both collaborative and explorative.</w:t>
      </w:r>
    </w:p>
    <w:p w:rsidR="00701321" w:rsidRDefault="00701321" w:rsidP="00701321">
      <w:pPr>
        <w:pStyle w:val="ListParagraph"/>
        <w:ind w:left="284"/>
        <w:rPr>
          <w:sz w:val="24"/>
          <w:szCs w:val="24"/>
        </w:rPr>
      </w:pPr>
    </w:p>
    <w:p w:rsidR="00701321" w:rsidRDefault="008810D5" w:rsidP="00654F11">
      <w:pPr>
        <w:pStyle w:val="ListParagraph"/>
        <w:numPr>
          <w:ilvl w:val="0"/>
          <w:numId w:val="1"/>
        </w:numPr>
        <w:ind w:left="284" w:hanging="284"/>
        <w:rPr>
          <w:sz w:val="24"/>
          <w:szCs w:val="24"/>
        </w:rPr>
      </w:pPr>
      <w:r>
        <w:rPr>
          <w:sz w:val="24"/>
          <w:szCs w:val="24"/>
        </w:rPr>
        <w:t xml:space="preserve">Linked to this discussion </w:t>
      </w:r>
      <w:r w:rsidR="00701321">
        <w:rPr>
          <w:sz w:val="24"/>
          <w:szCs w:val="24"/>
        </w:rPr>
        <w:t>was</w:t>
      </w:r>
      <w:r>
        <w:rPr>
          <w:sz w:val="24"/>
          <w:szCs w:val="24"/>
        </w:rPr>
        <w:t xml:space="preserve"> an</w:t>
      </w:r>
      <w:r w:rsidR="00701321">
        <w:rPr>
          <w:sz w:val="24"/>
          <w:szCs w:val="24"/>
        </w:rPr>
        <w:t xml:space="preserve"> expressed need for there to be greater collaboration with the public.  </w:t>
      </w:r>
      <w:r w:rsidR="00F97A59">
        <w:rPr>
          <w:sz w:val="24"/>
          <w:szCs w:val="24"/>
        </w:rPr>
        <w:t>In the first place, t</w:t>
      </w:r>
      <w:r w:rsidR="00701321">
        <w:rPr>
          <w:sz w:val="24"/>
          <w:szCs w:val="24"/>
        </w:rPr>
        <w:t xml:space="preserve">here was a demand for greater public awareness </w:t>
      </w:r>
      <w:r w:rsidR="00F97A59">
        <w:rPr>
          <w:sz w:val="24"/>
          <w:szCs w:val="24"/>
        </w:rPr>
        <w:t xml:space="preserve">of trade negotiations </w:t>
      </w:r>
      <w:r w:rsidR="00701321">
        <w:rPr>
          <w:sz w:val="24"/>
          <w:szCs w:val="24"/>
        </w:rPr>
        <w:t xml:space="preserve">with the accompanying argument that </w:t>
      </w:r>
      <w:r w:rsidR="00FC28C5">
        <w:rPr>
          <w:sz w:val="24"/>
          <w:szCs w:val="24"/>
        </w:rPr>
        <w:t xml:space="preserve">the </w:t>
      </w:r>
      <w:r w:rsidR="00701321">
        <w:rPr>
          <w:sz w:val="24"/>
          <w:szCs w:val="24"/>
        </w:rPr>
        <w:t xml:space="preserve">time was ripe </w:t>
      </w:r>
      <w:r w:rsidR="00F97A59">
        <w:rPr>
          <w:sz w:val="24"/>
          <w:szCs w:val="24"/>
        </w:rPr>
        <w:t xml:space="preserve">to capture the public interest </w:t>
      </w:r>
      <w:r w:rsidR="00701321">
        <w:rPr>
          <w:sz w:val="24"/>
          <w:szCs w:val="24"/>
        </w:rPr>
        <w:t xml:space="preserve">given the </w:t>
      </w:r>
      <w:r w:rsidR="00F97A59">
        <w:rPr>
          <w:sz w:val="24"/>
          <w:szCs w:val="24"/>
        </w:rPr>
        <w:t>present</w:t>
      </w:r>
      <w:r w:rsidR="00701321">
        <w:rPr>
          <w:sz w:val="24"/>
          <w:szCs w:val="24"/>
        </w:rPr>
        <w:t xml:space="preserve"> focus on health and wellbeing and the environment</w:t>
      </w:r>
      <w:r w:rsidR="00701321">
        <w:rPr>
          <w:rStyle w:val="EndnoteReference"/>
          <w:sz w:val="24"/>
          <w:szCs w:val="24"/>
        </w:rPr>
        <w:endnoteReference w:id="19"/>
      </w:r>
      <w:r w:rsidR="00701321">
        <w:rPr>
          <w:sz w:val="24"/>
          <w:szCs w:val="24"/>
        </w:rPr>
        <w:t>.</w:t>
      </w:r>
      <w:r w:rsidR="00F97A59">
        <w:rPr>
          <w:sz w:val="24"/>
          <w:szCs w:val="24"/>
        </w:rPr>
        <w:t xml:space="preserve"> </w:t>
      </w:r>
      <w:r w:rsidR="001E76E5">
        <w:rPr>
          <w:sz w:val="24"/>
          <w:szCs w:val="24"/>
        </w:rPr>
        <w:t>Public support</w:t>
      </w:r>
      <w:r w:rsidR="00F97A59">
        <w:rPr>
          <w:sz w:val="24"/>
          <w:szCs w:val="24"/>
        </w:rPr>
        <w:t xml:space="preserve"> might put necessary pressure on the politicians </w:t>
      </w:r>
      <w:r w:rsidR="001E76E5">
        <w:rPr>
          <w:sz w:val="24"/>
          <w:szCs w:val="24"/>
        </w:rPr>
        <w:t xml:space="preserve">for public consultation although NGO representatives at the Sandpit did point out that there already had been campaigns for this but </w:t>
      </w:r>
      <w:r w:rsidR="66F78DE3">
        <w:rPr>
          <w:sz w:val="24"/>
          <w:szCs w:val="24"/>
        </w:rPr>
        <w:t xml:space="preserve">that </w:t>
      </w:r>
      <w:r w:rsidR="001E76E5">
        <w:rPr>
          <w:sz w:val="24"/>
          <w:szCs w:val="24"/>
        </w:rPr>
        <w:t>what was needed was for a far stronger social movement</w:t>
      </w:r>
      <w:r w:rsidR="214C616D">
        <w:rPr>
          <w:sz w:val="24"/>
          <w:szCs w:val="24"/>
        </w:rPr>
        <w:t xml:space="preserve"> to take root</w:t>
      </w:r>
      <w:r w:rsidR="001E76E5">
        <w:rPr>
          <w:sz w:val="24"/>
          <w:szCs w:val="24"/>
        </w:rPr>
        <w:t xml:space="preserve">.  Part of this would </w:t>
      </w:r>
      <w:r w:rsidR="6D5E2447">
        <w:rPr>
          <w:sz w:val="24"/>
          <w:szCs w:val="24"/>
        </w:rPr>
        <w:t xml:space="preserve">require </w:t>
      </w:r>
      <w:r w:rsidR="001E76E5">
        <w:rPr>
          <w:sz w:val="24"/>
          <w:szCs w:val="24"/>
        </w:rPr>
        <w:t>t</w:t>
      </w:r>
      <w:r w:rsidR="00F97A59">
        <w:rPr>
          <w:sz w:val="24"/>
          <w:szCs w:val="24"/>
        </w:rPr>
        <w:t xml:space="preserve">echnical arguments to be translated for public consumption </w:t>
      </w:r>
      <w:r w:rsidR="001E76E5">
        <w:rPr>
          <w:sz w:val="24"/>
          <w:szCs w:val="24"/>
        </w:rPr>
        <w:t xml:space="preserve">but more imperative was the need for a perspective on the nature and the level of public knowledge and an understanding of the range of views.  The predominant view was that a series of Citizens' Juries should be run but, </w:t>
      </w:r>
      <w:r w:rsidR="001E76E5">
        <w:rPr>
          <w:sz w:val="24"/>
          <w:szCs w:val="24"/>
        </w:rPr>
        <w:lastRenderedPageBreak/>
        <w:t>given the complexities of this research methodology, the challenge remained as to how these might be framed, their purpose and to whom the findings m</w:t>
      </w:r>
      <w:r>
        <w:rPr>
          <w:sz w:val="24"/>
          <w:szCs w:val="24"/>
        </w:rPr>
        <w:t>ight</w:t>
      </w:r>
      <w:r w:rsidR="001E76E5">
        <w:rPr>
          <w:sz w:val="24"/>
          <w:szCs w:val="24"/>
        </w:rPr>
        <w:t xml:space="preserve"> be disseminated. </w:t>
      </w:r>
    </w:p>
    <w:p w:rsidR="001425B3" w:rsidRDefault="001425B3" w:rsidP="001425B3">
      <w:pPr>
        <w:pStyle w:val="ListParagraph"/>
        <w:ind w:left="284"/>
        <w:rPr>
          <w:sz w:val="24"/>
          <w:szCs w:val="24"/>
        </w:rPr>
      </w:pPr>
    </w:p>
    <w:p w:rsidR="004A45FC" w:rsidRDefault="008810D5" w:rsidP="00957D61">
      <w:pPr>
        <w:pStyle w:val="ListParagraph"/>
        <w:numPr>
          <w:ilvl w:val="0"/>
          <w:numId w:val="1"/>
        </w:numPr>
        <w:ind w:left="284" w:hanging="284"/>
        <w:rPr>
          <w:sz w:val="24"/>
          <w:szCs w:val="24"/>
        </w:rPr>
      </w:pPr>
      <w:r w:rsidRPr="5E3CD0B0">
        <w:rPr>
          <w:sz w:val="24"/>
          <w:szCs w:val="24"/>
        </w:rPr>
        <w:t>A further</w:t>
      </w:r>
      <w:r w:rsidR="000B3B31" w:rsidRPr="5E3CD0B0">
        <w:rPr>
          <w:sz w:val="24"/>
          <w:szCs w:val="24"/>
        </w:rPr>
        <w:t xml:space="preserve"> key outcome of the Sandpit Exercise was a call to create a database of trade agreements and to map the evidence to</w:t>
      </w:r>
      <w:r w:rsidR="00FC28C5">
        <w:rPr>
          <w:sz w:val="24"/>
          <w:szCs w:val="24"/>
        </w:rPr>
        <w:t xml:space="preserve"> </w:t>
      </w:r>
      <w:r w:rsidR="000B3B31" w:rsidRPr="5E3CD0B0">
        <w:rPr>
          <w:sz w:val="24"/>
          <w:szCs w:val="24"/>
        </w:rPr>
        <w:t xml:space="preserve">date, </w:t>
      </w:r>
      <w:r w:rsidR="31E56DBB" w:rsidRPr="5E3CD0B0">
        <w:rPr>
          <w:sz w:val="24"/>
          <w:szCs w:val="24"/>
        </w:rPr>
        <w:t xml:space="preserve">identifying </w:t>
      </w:r>
      <w:r w:rsidR="000B3B31" w:rsidRPr="5E3CD0B0">
        <w:rPr>
          <w:sz w:val="24"/>
          <w:szCs w:val="24"/>
        </w:rPr>
        <w:t xml:space="preserve">where there </w:t>
      </w:r>
      <w:r w:rsidR="004A45FC" w:rsidRPr="5E3CD0B0">
        <w:rPr>
          <w:sz w:val="24"/>
          <w:szCs w:val="24"/>
        </w:rPr>
        <w:t xml:space="preserve">were </w:t>
      </w:r>
      <w:r w:rsidR="000B3B31" w:rsidRPr="5E3CD0B0">
        <w:rPr>
          <w:sz w:val="24"/>
          <w:szCs w:val="24"/>
        </w:rPr>
        <w:t xml:space="preserve">both positive and negative outcomes. </w:t>
      </w:r>
      <w:r w:rsidR="004A45FC" w:rsidRPr="5E3CD0B0">
        <w:rPr>
          <w:sz w:val="24"/>
          <w:szCs w:val="24"/>
        </w:rPr>
        <w:t xml:space="preserve">Given that each </w:t>
      </w:r>
      <w:r w:rsidR="00F90A4A" w:rsidRPr="5E3CD0B0">
        <w:rPr>
          <w:sz w:val="24"/>
          <w:szCs w:val="24"/>
        </w:rPr>
        <w:t>TIA</w:t>
      </w:r>
      <w:r w:rsidR="00CB4A40" w:rsidRPr="5E3CD0B0">
        <w:rPr>
          <w:sz w:val="24"/>
          <w:szCs w:val="24"/>
        </w:rPr>
        <w:t xml:space="preserve"> </w:t>
      </w:r>
      <w:r w:rsidR="00F90A4A" w:rsidRPr="5E3CD0B0">
        <w:rPr>
          <w:sz w:val="24"/>
          <w:szCs w:val="24"/>
        </w:rPr>
        <w:t xml:space="preserve">is </w:t>
      </w:r>
      <w:r w:rsidR="004A45FC" w:rsidRPr="5E3CD0B0">
        <w:rPr>
          <w:sz w:val="24"/>
          <w:szCs w:val="24"/>
        </w:rPr>
        <w:t>unique, it would not be possible to make general statements and there was no easy alternative to</w:t>
      </w:r>
      <w:r w:rsidR="6A23BC88" w:rsidRPr="5E3CD0B0">
        <w:rPr>
          <w:sz w:val="24"/>
          <w:szCs w:val="24"/>
        </w:rPr>
        <w:t xml:space="preserve"> undertaking</w:t>
      </w:r>
      <w:r w:rsidR="004A45FC" w:rsidRPr="5E3CD0B0">
        <w:rPr>
          <w:sz w:val="24"/>
          <w:szCs w:val="24"/>
        </w:rPr>
        <w:t xml:space="preserve"> thorough analys</w:t>
      </w:r>
      <w:r w:rsidR="55F1A005" w:rsidRPr="5E3CD0B0">
        <w:rPr>
          <w:sz w:val="24"/>
          <w:szCs w:val="24"/>
        </w:rPr>
        <w:t>e</w:t>
      </w:r>
      <w:r w:rsidR="004A45FC" w:rsidRPr="5E3CD0B0">
        <w:rPr>
          <w:sz w:val="24"/>
          <w:szCs w:val="24"/>
        </w:rPr>
        <w:t xml:space="preserve">s of each one. </w:t>
      </w:r>
      <w:r w:rsidR="008D0BB2" w:rsidRPr="5E3CD0B0">
        <w:rPr>
          <w:sz w:val="24"/>
          <w:szCs w:val="24"/>
        </w:rPr>
        <w:t xml:space="preserve">It would equally be a challenge to monitor whether a particular provision in a trade agreement had had a direct impact on public health.  </w:t>
      </w:r>
      <w:r w:rsidR="004A45FC" w:rsidRPr="5E3CD0B0">
        <w:rPr>
          <w:sz w:val="24"/>
          <w:szCs w:val="24"/>
        </w:rPr>
        <w:t>Moreover, analysing trade deals was only possible retrospectively although a more prospective stance may be possible if there was greater integration at the policy level.</w:t>
      </w:r>
    </w:p>
    <w:p w:rsidR="004A45FC" w:rsidRDefault="004A45FC" w:rsidP="004A45FC">
      <w:pPr>
        <w:pStyle w:val="ListParagraph"/>
        <w:ind w:left="284"/>
        <w:rPr>
          <w:sz w:val="24"/>
          <w:szCs w:val="24"/>
        </w:rPr>
      </w:pPr>
    </w:p>
    <w:p w:rsidR="00D63833" w:rsidRDefault="004A45FC" w:rsidP="00D63833">
      <w:pPr>
        <w:pStyle w:val="ListParagraph"/>
        <w:numPr>
          <w:ilvl w:val="0"/>
          <w:numId w:val="1"/>
        </w:numPr>
        <w:ind w:left="284" w:hanging="284"/>
        <w:rPr>
          <w:sz w:val="24"/>
          <w:szCs w:val="24"/>
        </w:rPr>
      </w:pPr>
      <w:r w:rsidRPr="5E3CD0B0">
        <w:rPr>
          <w:sz w:val="24"/>
          <w:szCs w:val="24"/>
        </w:rPr>
        <w:t xml:space="preserve">Underpinning this discussion </w:t>
      </w:r>
      <w:r w:rsidR="0158FFE3" w:rsidRPr="5E3CD0B0">
        <w:rPr>
          <w:sz w:val="24"/>
          <w:szCs w:val="24"/>
        </w:rPr>
        <w:t xml:space="preserve">is </w:t>
      </w:r>
      <w:r w:rsidRPr="5E3CD0B0">
        <w:rPr>
          <w:sz w:val="24"/>
          <w:szCs w:val="24"/>
        </w:rPr>
        <w:t>the further question of the extent to which further research is needed</w:t>
      </w:r>
      <w:r w:rsidR="003F6ADE" w:rsidRPr="5E3CD0B0">
        <w:rPr>
          <w:sz w:val="24"/>
          <w:szCs w:val="24"/>
        </w:rPr>
        <w:t xml:space="preserve">.  </w:t>
      </w:r>
      <w:r w:rsidR="00AA279C" w:rsidRPr="5E3CD0B0">
        <w:rPr>
          <w:sz w:val="24"/>
          <w:szCs w:val="24"/>
        </w:rPr>
        <w:t xml:space="preserve">Although it </w:t>
      </w:r>
      <w:r w:rsidR="003F6ADE" w:rsidRPr="5E3CD0B0">
        <w:rPr>
          <w:sz w:val="24"/>
          <w:szCs w:val="24"/>
        </w:rPr>
        <w:t xml:space="preserve">was both acknowledged that it may not be a question of </w:t>
      </w:r>
      <w:r w:rsidR="000B3B31" w:rsidRPr="5E3CD0B0">
        <w:rPr>
          <w:sz w:val="24"/>
          <w:szCs w:val="24"/>
        </w:rPr>
        <w:t>necessarily undertaking mor</w:t>
      </w:r>
      <w:r w:rsidR="00531C13" w:rsidRPr="5E3CD0B0">
        <w:rPr>
          <w:sz w:val="24"/>
          <w:szCs w:val="24"/>
        </w:rPr>
        <w:t xml:space="preserve">e research but rather </w:t>
      </w:r>
      <w:r w:rsidR="00E8423D" w:rsidRPr="5E3CD0B0">
        <w:rPr>
          <w:sz w:val="24"/>
          <w:szCs w:val="24"/>
        </w:rPr>
        <w:t>more useful</w:t>
      </w:r>
      <w:r w:rsidR="00E8423D">
        <w:rPr>
          <w:sz w:val="24"/>
          <w:szCs w:val="24"/>
        </w:rPr>
        <w:t>ly</w:t>
      </w:r>
      <w:r w:rsidR="00E8423D" w:rsidRPr="5E3CD0B0">
        <w:rPr>
          <w:sz w:val="24"/>
          <w:szCs w:val="24"/>
        </w:rPr>
        <w:t xml:space="preserve"> </w:t>
      </w:r>
      <w:r w:rsidR="0B2A19B4" w:rsidRPr="5E3CD0B0">
        <w:rPr>
          <w:sz w:val="24"/>
          <w:szCs w:val="24"/>
        </w:rPr>
        <w:t xml:space="preserve">focusing on </w:t>
      </w:r>
      <w:r w:rsidR="003F6ADE" w:rsidRPr="5E3CD0B0">
        <w:rPr>
          <w:sz w:val="24"/>
          <w:szCs w:val="24"/>
        </w:rPr>
        <w:t xml:space="preserve">the </w:t>
      </w:r>
      <w:r w:rsidR="00531C13" w:rsidRPr="5E3CD0B0">
        <w:rPr>
          <w:sz w:val="24"/>
          <w:szCs w:val="24"/>
        </w:rPr>
        <w:t>translation and dissemination or knowledge that already exists</w:t>
      </w:r>
      <w:r w:rsidR="00701321" w:rsidRPr="5E3CD0B0">
        <w:rPr>
          <w:sz w:val="24"/>
          <w:szCs w:val="24"/>
        </w:rPr>
        <w:t xml:space="preserve"> </w:t>
      </w:r>
      <w:r w:rsidR="00AA279C" w:rsidRPr="5E3CD0B0">
        <w:rPr>
          <w:sz w:val="24"/>
          <w:szCs w:val="24"/>
        </w:rPr>
        <w:t xml:space="preserve">, it was pointed out by NGOs present that a good deal of their focus had in fact been working with researchers to enable reframing research for policy makers. </w:t>
      </w:r>
      <w:r w:rsidRPr="5E3CD0B0">
        <w:rPr>
          <w:sz w:val="24"/>
          <w:szCs w:val="24"/>
        </w:rPr>
        <w:t xml:space="preserve">  </w:t>
      </w:r>
      <w:r w:rsidR="008807AD" w:rsidRPr="5E3CD0B0">
        <w:rPr>
          <w:sz w:val="24"/>
          <w:szCs w:val="24"/>
        </w:rPr>
        <w:t xml:space="preserve">Above all, academic work does not tend naturally to dovetail with policy agendas in terms of appropriate and effective messaging let alone timing. </w:t>
      </w:r>
      <w:r w:rsidR="001E5E19" w:rsidRPr="5E3CD0B0">
        <w:rPr>
          <w:sz w:val="24"/>
          <w:szCs w:val="24"/>
        </w:rPr>
        <w:t xml:space="preserve">  </w:t>
      </w:r>
      <w:r w:rsidR="003F6ADE" w:rsidRPr="5E3CD0B0">
        <w:rPr>
          <w:sz w:val="24"/>
          <w:szCs w:val="24"/>
        </w:rPr>
        <w:t xml:space="preserve">Further, the purpose of any research would be paramount, ensuring it is framed appropriately for a particular audience or different audiences.  </w:t>
      </w:r>
    </w:p>
    <w:p w:rsidR="00F90A4A" w:rsidRPr="00F90A4A" w:rsidRDefault="00F90A4A" w:rsidP="00F90A4A">
      <w:pPr>
        <w:pStyle w:val="ListParagraph"/>
        <w:ind w:left="284"/>
        <w:rPr>
          <w:sz w:val="24"/>
          <w:szCs w:val="24"/>
        </w:rPr>
      </w:pPr>
    </w:p>
    <w:p w:rsidR="008807AD" w:rsidRDefault="00BF1622" w:rsidP="008807AD">
      <w:pPr>
        <w:pStyle w:val="ListParagraph"/>
        <w:numPr>
          <w:ilvl w:val="0"/>
          <w:numId w:val="1"/>
        </w:numPr>
        <w:ind w:left="284" w:hanging="284"/>
        <w:rPr>
          <w:sz w:val="24"/>
          <w:szCs w:val="24"/>
        </w:rPr>
      </w:pPr>
      <w:r w:rsidRPr="00BF1622">
        <w:rPr>
          <w:sz w:val="24"/>
          <w:szCs w:val="24"/>
        </w:rPr>
        <w:t xml:space="preserve">Despite a general lack of clarity as to where the focus of new research should be, there </w:t>
      </w:r>
      <w:r w:rsidR="003706C3">
        <w:rPr>
          <w:sz w:val="24"/>
          <w:szCs w:val="24"/>
        </w:rPr>
        <w:t>remained a</w:t>
      </w:r>
      <w:r w:rsidRPr="00BF1622">
        <w:rPr>
          <w:sz w:val="24"/>
          <w:szCs w:val="24"/>
        </w:rPr>
        <w:t xml:space="preserve"> need for </w:t>
      </w:r>
      <w:r w:rsidR="00F90A4A">
        <w:rPr>
          <w:sz w:val="24"/>
          <w:szCs w:val="24"/>
        </w:rPr>
        <w:t xml:space="preserve">a research framework, prioritisation of topics </w:t>
      </w:r>
      <w:r w:rsidRPr="00BF1622">
        <w:rPr>
          <w:sz w:val="24"/>
          <w:szCs w:val="24"/>
        </w:rPr>
        <w:t xml:space="preserve">and, for example, </w:t>
      </w:r>
      <w:r w:rsidR="00F90A4A">
        <w:rPr>
          <w:sz w:val="24"/>
          <w:szCs w:val="24"/>
        </w:rPr>
        <w:t xml:space="preserve">an exploration </w:t>
      </w:r>
      <w:r w:rsidR="00E8423D">
        <w:rPr>
          <w:sz w:val="24"/>
          <w:szCs w:val="24"/>
        </w:rPr>
        <w:t xml:space="preserve">of </w:t>
      </w:r>
      <w:r w:rsidR="001E5E19" w:rsidRPr="00BF1622">
        <w:rPr>
          <w:sz w:val="24"/>
          <w:szCs w:val="24"/>
        </w:rPr>
        <w:t>where trade has had positive or negative effects on health</w:t>
      </w:r>
      <w:r w:rsidR="00F90A4A">
        <w:rPr>
          <w:sz w:val="24"/>
          <w:szCs w:val="24"/>
        </w:rPr>
        <w:t xml:space="preserve">. </w:t>
      </w:r>
      <w:r w:rsidR="00AA279C" w:rsidRPr="00BF1622">
        <w:rPr>
          <w:sz w:val="24"/>
          <w:szCs w:val="24"/>
        </w:rPr>
        <w:t xml:space="preserve">  </w:t>
      </w:r>
      <w:r w:rsidR="00065A4B" w:rsidRPr="00BF1622">
        <w:rPr>
          <w:sz w:val="24"/>
          <w:szCs w:val="24"/>
        </w:rPr>
        <w:t>It may be possible to explore EU case studies or some of the more infamous international examples such as Australia and plain packaging but again this would be complicated by the fact that all trade deals are unique.</w:t>
      </w:r>
      <w:r w:rsidR="00C4570F" w:rsidRPr="00BF1622">
        <w:rPr>
          <w:sz w:val="24"/>
          <w:szCs w:val="24"/>
        </w:rPr>
        <w:t xml:space="preserve"> </w:t>
      </w:r>
      <w:r w:rsidR="003706C3">
        <w:rPr>
          <w:sz w:val="24"/>
          <w:szCs w:val="24"/>
        </w:rPr>
        <w:t>M</w:t>
      </w:r>
      <w:r w:rsidR="008807AD" w:rsidRPr="00BF1622">
        <w:rPr>
          <w:sz w:val="24"/>
          <w:szCs w:val="24"/>
        </w:rPr>
        <w:t>onitor</w:t>
      </w:r>
      <w:r w:rsidR="003706C3">
        <w:rPr>
          <w:sz w:val="24"/>
          <w:szCs w:val="24"/>
        </w:rPr>
        <w:t>ing</w:t>
      </w:r>
      <w:r w:rsidR="008807AD" w:rsidRPr="00BF1622">
        <w:rPr>
          <w:sz w:val="24"/>
          <w:szCs w:val="24"/>
        </w:rPr>
        <w:t xml:space="preserve"> trade agreements on an o</w:t>
      </w:r>
      <w:r w:rsidR="00AA279C" w:rsidRPr="00BF1622">
        <w:rPr>
          <w:sz w:val="24"/>
          <w:szCs w:val="24"/>
        </w:rPr>
        <w:t>n-going basis exploring their impact on health</w:t>
      </w:r>
      <w:r w:rsidR="003706C3">
        <w:rPr>
          <w:sz w:val="24"/>
          <w:szCs w:val="24"/>
        </w:rPr>
        <w:t xml:space="preserve">, including examining </w:t>
      </w:r>
      <w:r w:rsidR="00AA279C" w:rsidRPr="00BF1622">
        <w:rPr>
          <w:sz w:val="24"/>
          <w:szCs w:val="24"/>
        </w:rPr>
        <w:t xml:space="preserve">the impact of </w:t>
      </w:r>
      <w:r w:rsidR="008807AD" w:rsidRPr="00BF1622">
        <w:rPr>
          <w:sz w:val="24"/>
          <w:szCs w:val="24"/>
        </w:rPr>
        <w:t>the Internal</w:t>
      </w:r>
      <w:r w:rsidR="00AA279C" w:rsidRPr="00BF1622">
        <w:rPr>
          <w:sz w:val="24"/>
          <w:szCs w:val="24"/>
        </w:rPr>
        <w:t xml:space="preserve"> </w:t>
      </w:r>
      <w:r w:rsidR="00757DC1">
        <w:rPr>
          <w:sz w:val="24"/>
          <w:szCs w:val="24"/>
        </w:rPr>
        <w:t xml:space="preserve">Market </w:t>
      </w:r>
      <w:r w:rsidR="00AA279C" w:rsidRPr="00BF1622">
        <w:rPr>
          <w:sz w:val="24"/>
          <w:szCs w:val="24"/>
        </w:rPr>
        <w:t xml:space="preserve">Act and </w:t>
      </w:r>
      <w:r w:rsidR="008807AD" w:rsidRPr="00BF1622">
        <w:rPr>
          <w:sz w:val="24"/>
          <w:szCs w:val="24"/>
        </w:rPr>
        <w:t>its</w:t>
      </w:r>
      <w:r w:rsidR="00AA279C" w:rsidRPr="00BF1622">
        <w:rPr>
          <w:sz w:val="24"/>
          <w:szCs w:val="24"/>
        </w:rPr>
        <w:t xml:space="preserve"> effect </w:t>
      </w:r>
      <w:r w:rsidR="008807AD" w:rsidRPr="00BF1622">
        <w:rPr>
          <w:sz w:val="24"/>
          <w:szCs w:val="24"/>
        </w:rPr>
        <w:t>on the</w:t>
      </w:r>
      <w:r w:rsidR="00AA279C" w:rsidRPr="00BF1622">
        <w:rPr>
          <w:sz w:val="24"/>
          <w:szCs w:val="24"/>
        </w:rPr>
        <w:t xml:space="preserve"> devolved nations</w:t>
      </w:r>
      <w:r w:rsidR="003706C3">
        <w:rPr>
          <w:sz w:val="24"/>
          <w:szCs w:val="24"/>
        </w:rPr>
        <w:t>, was also considered a viable option</w:t>
      </w:r>
      <w:r w:rsidR="00AA279C" w:rsidRPr="00BF1622">
        <w:rPr>
          <w:sz w:val="24"/>
          <w:szCs w:val="24"/>
        </w:rPr>
        <w:t xml:space="preserve">. </w:t>
      </w:r>
      <w:r w:rsidR="00C4570F" w:rsidRPr="00BF1622">
        <w:rPr>
          <w:sz w:val="24"/>
          <w:szCs w:val="24"/>
        </w:rPr>
        <w:t xml:space="preserve">On the other hand, it would be challenging to investigate, for example, the unintended consequences for trade if public health matters are considered and integrated in a trade deal at any substantive level.  </w:t>
      </w:r>
      <w:r w:rsidR="00757DC1">
        <w:rPr>
          <w:sz w:val="24"/>
          <w:szCs w:val="24"/>
        </w:rPr>
        <w:t xml:space="preserve">Nonetheless, there was an acknowledgement that </w:t>
      </w:r>
      <w:r w:rsidR="003706C3">
        <w:rPr>
          <w:sz w:val="24"/>
          <w:szCs w:val="24"/>
        </w:rPr>
        <w:t xml:space="preserve">new </w:t>
      </w:r>
      <w:r w:rsidR="00757DC1">
        <w:rPr>
          <w:sz w:val="24"/>
          <w:szCs w:val="24"/>
        </w:rPr>
        <w:t>research might have an impact on subsequent and future deals.</w:t>
      </w:r>
    </w:p>
    <w:p w:rsidR="00BF1622" w:rsidRPr="00BF1622" w:rsidRDefault="00BF1622" w:rsidP="00BF1622">
      <w:pPr>
        <w:pStyle w:val="ListParagraph"/>
        <w:ind w:left="284"/>
        <w:rPr>
          <w:sz w:val="24"/>
          <w:szCs w:val="24"/>
        </w:rPr>
      </w:pPr>
    </w:p>
    <w:p w:rsidR="00C4570F" w:rsidRDefault="00C4570F" w:rsidP="00957D61">
      <w:pPr>
        <w:pStyle w:val="ListParagraph"/>
        <w:numPr>
          <w:ilvl w:val="0"/>
          <w:numId w:val="1"/>
        </w:numPr>
        <w:ind w:left="284" w:hanging="284"/>
        <w:rPr>
          <w:sz w:val="24"/>
          <w:szCs w:val="24"/>
        </w:rPr>
      </w:pPr>
      <w:r>
        <w:rPr>
          <w:sz w:val="24"/>
          <w:szCs w:val="24"/>
        </w:rPr>
        <w:t xml:space="preserve">There was, </w:t>
      </w:r>
      <w:r w:rsidR="00757DC1">
        <w:rPr>
          <w:sz w:val="24"/>
          <w:szCs w:val="24"/>
        </w:rPr>
        <w:t>too</w:t>
      </w:r>
      <w:r>
        <w:rPr>
          <w:sz w:val="24"/>
          <w:szCs w:val="24"/>
        </w:rPr>
        <w:t xml:space="preserve">, a strong body of opinion at the Sandpit Exercise that called for Health Impact Assessments.  </w:t>
      </w:r>
      <w:r w:rsidR="0091486C">
        <w:rPr>
          <w:sz w:val="24"/>
          <w:szCs w:val="24"/>
        </w:rPr>
        <w:t xml:space="preserve">In part, this seemed to be a response to the public health impacts on </w:t>
      </w:r>
      <w:r w:rsidR="00E8423D">
        <w:rPr>
          <w:sz w:val="24"/>
          <w:szCs w:val="24"/>
        </w:rPr>
        <w:t xml:space="preserve">diverse </w:t>
      </w:r>
      <w:r w:rsidR="0091486C">
        <w:rPr>
          <w:sz w:val="24"/>
          <w:szCs w:val="24"/>
        </w:rPr>
        <w:t xml:space="preserve">socio-economic groups that in </w:t>
      </w:r>
      <w:r w:rsidR="00E8423D">
        <w:rPr>
          <w:sz w:val="24"/>
          <w:szCs w:val="24"/>
        </w:rPr>
        <w:t xml:space="preserve">various </w:t>
      </w:r>
      <w:r w:rsidR="0091486C">
        <w:rPr>
          <w:sz w:val="24"/>
          <w:szCs w:val="24"/>
        </w:rPr>
        <w:t>contexts have been shown to be affected differently</w:t>
      </w:r>
      <w:r w:rsidR="0091486C">
        <w:rPr>
          <w:rStyle w:val="EndnoteReference"/>
          <w:sz w:val="24"/>
          <w:szCs w:val="24"/>
        </w:rPr>
        <w:endnoteReference w:id="20"/>
      </w:r>
      <w:r w:rsidR="00F36B95">
        <w:rPr>
          <w:sz w:val="24"/>
          <w:szCs w:val="24"/>
        </w:rPr>
        <w:t xml:space="preserve"> and the need and urgency to reduce health inequalities</w:t>
      </w:r>
      <w:r w:rsidR="0091486C">
        <w:rPr>
          <w:sz w:val="24"/>
          <w:szCs w:val="24"/>
        </w:rPr>
        <w:t xml:space="preserve">. The complicated nature of designing or creating a metric that could measure both health and economic inequalities and the urgency of protecting the more vulnerable, particularly in </w:t>
      </w:r>
      <w:r w:rsidR="0091486C">
        <w:rPr>
          <w:sz w:val="24"/>
          <w:szCs w:val="24"/>
        </w:rPr>
        <w:lastRenderedPageBreak/>
        <w:t xml:space="preserve">LMICs </w:t>
      </w:r>
      <w:r w:rsidR="00CB4A40">
        <w:rPr>
          <w:sz w:val="24"/>
          <w:szCs w:val="24"/>
        </w:rPr>
        <w:t>within the context of bio-colonialism</w:t>
      </w:r>
      <w:r w:rsidR="00E8423D">
        <w:rPr>
          <w:sz w:val="24"/>
          <w:szCs w:val="24"/>
        </w:rPr>
        <w:t>,</w:t>
      </w:r>
      <w:r w:rsidR="00CB4A40">
        <w:rPr>
          <w:sz w:val="24"/>
          <w:szCs w:val="24"/>
        </w:rPr>
        <w:t xml:space="preserve"> was </w:t>
      </w:r>
      <w:r w:rsidR="008D0BB2">
        <w:rPr>
          <w:sz w:val="24"/>
          <w:szCs w:val="24"/>
        </w:rPr>
        <w:t xml:space="preserve">additionally </w:t>
      </w:r>
      <w:r w:rsidR="00CB4A40">
        <w:rPr>
          <w:sz w:val="24"/>
          <w:szCs w:val="24"/>
        </w:rPr>
        <w:t>observed</w:t>
      </w:r>
      <w:r w:rsidR="008D0BB2">
        <w:rPr>
          <w:sz w:val="24"/>
          <w:szCs w:val="24"/>
        </w:rPr>
        <w:t>.</w:t>
      </w:r>
      <w:r w:rsidR="00BF1622">
        <w:rPr>
          <w:sz w:val="24"/>
          <w:szCs w:val="24"/>
        </w:rPr>
        <w:t xml:space="preserve"> Nonetheless, the next steps of defining the remit of such assessments, what would be measured</w:t>
      </w:r>
      <w:r w:rsidR="00F36B95">
        <w:rPr>
          <w:sz w:val="24"/>
          <w:szCs w:val="24"/>
        </w:rPr>
        <w:t>, whet</w:t>
      </w:r>
      <w:r w:rsidR="00757DC1">
        <w:rPr>
          <w:sz w:val="24"/>
          <w:szCs w:val="24"/>
        </w:rPr>
        <w:t>her</w:t>
      </w:r>
      <w:r w:rsidR="00F36B95">
        <w:rPr>
          <w:sz w:val="24"/>
          <w:szCs w:val="24"/>
        </w:rPr>
        <w:t xml:space="preserve"> they would include services as well as goods</w:t>
      </w:r>
      <w:r w:rsidR="00F90A4A">
        <w:rPr>
          <w:sz w:val="24"/>
          <w:szCs w:val="24"/>
        </w:rPr>
        <w:t>,</w:t>
      </w:r>
      <w:r w:rsidR="00BF1622">
        <w:rPr>
          <w:sz w:val="24"/>
          <w:szCs w:val="24"/>
        </w:rPr>
        <w:t xml:space="preserve"> the destination of the results</w:t>
      </w:r>
      <w:r w:rsidR="00F36B95">
        <w:rPr>
          <w:sz w:val="24"/>
          <w:szCs w:val="24"/>
        </w:rPr>
        <w:t xml:space="preserve"> and, </w:t>
      </w:r>
      <w:r w:rsidR="00757DC1">
        <w:rPr>
          <w:sz w:val="24"/>
          <w:szCs w:val="24"/>
        </w:rPr>
        <w:t xml:space="preserve">crucially, the extent to which they </w:t>
      </w:r>
      <w:r w:rsidR="00F36B95">
        <w:rPr>
          <w:sz w:val="24"/>
          <w:szCs w:val="24"/>
        </w:rPr>
        <w:t xml:space="preserve">would be useful either for trade or non-trade experts </w:t>
      </w:r>
      <w:r w:rsidR="00BF1622">
        <w:rPr>
          <w:sz w:val="24"/>
          <w:szCs w:val="24"/>
        </w:rPr>
        <w:t>remained vague.</w:t>
      </w:r>
      <w:r w:rsidR="00F36B95">
        <w:rPr>
          <w:sz w:val="24"/>
          <w:szCs w:val="24"/>
        </w:rPr>
        <w:t xml:space="preserve">  </w:t>
      </w:r>
    </w:p>
    <w:p w:rsidR="00757DC1" w:rsidRDefault="00757DC1" w:rsidP="00757DC1">
      <w:pPr>
        <w:pStyle w:val="ListParagraph"/>
        <w:ind w:left="284"/>
        <w:rPr>
          <w:sz w:val="24"/>
          <w:szCs w:val="24"/>
        </w:rPr>
      </w:pPr>
    </w:p>
    <w:p w:rsidR="00531C13" w:rsidRDefault="003B3AB4" w:rsidP="00757DC1">
      <w:pPr>
        <w:pStyle w:val="ListParagraph"/>
        <w:numPr>
          <w:ilvl w:val="0"/>
          <w:numId w:val="1"/>
        </w:numPr>
        <w:ind w:left="284" w:hanging="284"/>
        <w:rPr>
          <w:sz w:val="24"/>
          <w:szCs w:val="24"/>
        </w:rPr>
      </w:pPr>
      <w:r w:rsidRPr="5E3CD0B0">
        <w:rPr>
          <w:sz w:val="24"/>
          <w:szCs w:val="24"/>
        </w:rPr>
        <w:t xml:space="preserve">Many </w:t>
      </w:r>
      <w:r w:rsidR="00757DC1" w:rsidRPr="5E3CD0B0">
        <w:rPr>
          <w:sz w:val="24"/>
          <w:szCs w:val="24"/>
        </w:rPr>
        <w:t xml:space="preserve">of the challenges already experienced </w:t>
      </w:r>
      <w:r w:rsidRPr="5E3CD0B0">
        <w:rPr>
          <w:sz w:val="24"/>
          <w:szCs w:val="24"/>
        </w:rPr>
        <w:t xml:space="preserve">and observed </w:t>
      </w:r>
      <w:r w:rsidR="00757DC1" w:rsidRPr="5E3CD0B0">
        <w:rPr>
          <w:sz w:val="24"/>
          <w:szCs w:val="24"/>
        </w:rPr>
        <w:t xml:space="preserve">by PETRA </w:t>
      </w:r>
      <w:r w:rsidRPr="5E3CD0B0">
        <w:rPr>
          <w:sz w:val="24"/>
          <w:szCs w:val="24"/>
        </w:rPr>
        <w:t xml:space="preserve">in fulfilling its remit were </w:t>
      </w:r>
      <w:r w:rsidR="005B0176" w:rsidRPr="5E3CD0B0">
        <w:rPr>
          <w:sz w:val="24"/>
          <w:szCs w:val="24"/>
        </w:rPr>
        <w:t xml:space="preserve">undoubtedly </w:t>
      </w:r>
      <w:r w:rsidR="00757DC1" w:rsidRPr="5E3CD0B0">
        <w:rPr>
          <w:sz w:val="24"/>
          <w:szCs w:val="24"/>
        </w:rPr>
        <w:t xml:space="preserve">reaffirmed </w:t>
      </w:r>
      <w:r w:rsidR="005B0176" w:rsidRPr="5E3CD0B0">
        <w:rPr>
          <w:sz w:val="24"/>
          <w:szCs w:val="24"/>
        </w:rPr>
        <w:t xml:space="preserve">during the Sandpit Exercise.  At the same time, the event underlined the urgency </w:t>
      </w:r>
      <w:r w:rsidR="0A319A8D" w:rsidRPr="5E3CD0B0">
        <w:rPr>
          <w:sz w:val="24"/>
          <w:szCs w:val="24"/>
        </w:rPr>
        <w:t xml:space="preserve">and importance </w:t>
      </w:r>
      <w:r w:rsidR="005B0176" w:rsidRPr="5E3CD0B0">
        <w:rPr>
          <w:sz w:val="24"/>
          <w:szCs w:val="24"/>
        </w:rPr>
        <w:t>of the project</w:t>
      </w:r>
      <w:r w:rsidR="00714E46" w:rsidRPr="5E3CD0B0">
        <w:rPr>
          <w:sz w:val="24"/>
          <w:szCs w:val="24"/>
        </w:rPr>
        <w:t xml:space="preserve"> </w:t>
      </w:r>
      <w:r w:rsidR="00AB27EF" w:rsidRPr="5E3CD0B0">
        <w:rPr>
          <w:sz w:val="24"/>
          <w:szCs w:val="24"/>
        </w:rPr>
        <w:t xml:space="preserve">and </w:t>
      </w:r>
      <w:r w:rsidR="0016745D" w:rsidRPr="5E3CD0B0">
        <w:rPr>
          <w:sz w:val="24"/>
          <w:szCs w:val="24"/>
        </w:rPr>
        <w:t xml:space="preserve">the difficulties for PETRA in determining not only the nature but the remit of the proposed R&amp;D manifesto. </w:t>
      </w:r>
      <w:r w:rsidR="00714E46" w:rsidRPr="5E3CD0B0">
        <w:rPr>
          <w:sz w:val="24"/>
          <w:szCs w:val="24"/>
        </w:rPr>
        <w:t xml:space="preserve">The need </w:t>
      </w:r>
      <w:r w:rsidR="2631AD75" w:rsidRPr="5E3CD0B0">
        <w:rPr>
          <w:sz w:val="24"/>
          <w:szCs w:val="24"/>
        </w:rPr>
        <w:t xml:space="preserve">to </w:t>
      </w:r>
      <w:r w:rsidR="00714E46" w:rsidRPr="5E3CD0B0">
        <w:rPr>
          <w:sz w:val="24"/>
          <w:szCs w:val="24"/>
        </w:rPr>
        <w:t xml:space="preserve"> break down </w:t>
      </w:r>
      <w:r w:rsidR="1F1A5F70" w:rsidRPr="5E3CD0B0">
        <w:rPr>
          <w:sz w:val="24"/>
          <w:szCs w:val="24"/>
        </w:rPr>
        <w:t xml:space="preserve">existing </w:t>
      </w:r>
      <w:r w:rsidR="00714E46" w:rsidRPr="5E3CD0B0">
        <w:rPr>
          <w:sz w:val="24"/>
          <w:szCs w:val="24"/>
        </w:rPr>
        <w:t xml:space="preserve"> silos and </w:t>
      </w:r>
      <w:r w:rsidR="0E7B570F" w:rsidRPr="5E3CD0B0">
        <w:rPr>
          <w:sz w:val="24"/>
          <w:szCs w:val="24"/>
        </w:rPr>
        <w:t xml:space="preserve">nurture </w:t>
      </w:r>
      <w:r w:rsidR="00714E46" w:rsidRPr="5E3CD0B0">
        <w:rPr>
          <w:sz w:val="24"/>
          <w:szCs w:val="24"/>
        </w:rPr>
        <w:t>greater c</w:t>
      </w:r>
      <w:r w:rsidR="0016745D" w:rsidRPr="5E3CD0B0">
        <w:rPr>
          <w:sz w:val="24"/>
          <w:szCs w:val="24"/>
        </w:rPr>
        <w:t>ooperation and collaboration</w:t>
      </w:r>
      <w:r w:rsidR="008F77FC">
        <w:rPr>
          <w:sz w:val="24"/>
          <w:szCs w:val="24"/>
        </w:rPr>
        <w:t>,</w:t>
      </w:r>
      <w:r w:rsidR="0016745D" w:rsidRPr="5E3CD0B0">
        <w:rPr>
          <w:sz w:val="24"/>
          <w:szCs w:val="24"/>
        </w:rPr>
        <w:t xml:space="preserve"> </w:t>
      </w:r>
      <w:r w:rsidR="00714E46" w:rsidRPr="5E3CD0B0">
        <w:rPr>
          <w:sz w:val="24"/>
          <w:szCs w:val="24"/>
        </w:rPr>
        <w:t>although essential</w:t>
      </w:r>
      <w:r w:rsidR="008F77FC">
        <w:rPr>
          <w:sz w:val="24"/>
          <w:szCs w:val="24"/>
        </w:rPr>
        <w:t>,</w:t>
      </w:r>
      <w:r w:rsidR="00714E46" w:rsidRPr="5E3CD0B0">
        <w:rPr>
          <w:sz w:val="24"/>
          <w:szCs w:val="24"/>
        </w:rPr>
        <w:t xml:space="preserve"> also raises further questions </w:t>
      </w:r>
      <w:r w:rsidR="2BD222C0" w:rsidRPr="5E3CD0B0">
        <w:rPr>
          <w:sz w:val="24"/>
          <w:szCs w:val="24"/>
        </w:rPr>
        <w:t xml:space="preserve">including </w:t>
      </w:r>
      <w:r w:rsidR="00714E46" w:rsidRPr="5E3CD0B0">
        <w:rPr>
          <w:sz w:val="24"/>
          <w:szCs w:val="24"/>
        </w:rPr>
        <w:t xml:space="preserve"> </w:t>
      </w:r>
      <w:r w:rsidR="00AB27EF" w:rsidRPr="5E3CD0B0">
        <w:rPr>
          <w:sz w:val="24"/>
          <w:szCs w:val="24"/>
        </w:rPr>
        <w:t>the</w:t>
      </w:r>
      <w:r w:rsidR="00714E46" w:rsidRPr="5E3CD0B0">
        <w:rPr>
          <w:sz w:val="24"/>
          <w:szCs w:val="24"/>
        </w:rPr>
        <w:t xml:space="preserve"> point </w:t>
      </w:r>
      <w:r w:rsidR="00AB27EF" w:rsidRPr="5E3CD0B0">
        <w:rPr>
          <w:sz w:val="24"/>
          <w:szCs w:val="24"/>
        </w:rPr>
        <w:t xml:space="preserve">at which </w:t>
      </w:r>
      <w:r w:rsidR="00714E46" w:rsidRPr="5E3CD0B0">
        <w:rPr>
          <w:sz w:val="24"/>
          <w:szCs w:val="24"/>
        </w:rPr>
        <w:t xml:space="preserve">negotiating the content of the manifesto </w:t>
      </w:r>
      <w:r w:rsidR="00AB27EF" w:rsidRPr="5E3CD0B0">
        <w:rPr>
          <w:sz w:val="24"/>
          <w:szCs w:val="24"/>
        </w:rPr>
        <w:t xml:space="preserve">should take place </w:t>
      </w:r>
      <w:r w:rsidR="00714E46" w:rsidRPr="5E3CD0B0">
        <w:rPr>
          <w:sz w:val="24"/>
          <w:szCs w:val="24"/>
        </w:rPr>
        <w:t xml:space="preserve">and, in turn,  where the research should focus, at what level and for whom.  </w:t>
      </w:r>
    </w:p>
    <w:p w:rsidR="00AE561A" w:rsidRPr="00AE561A" w:rsidRDefault="00AE561A" w:rsidP="00AE561A">
      <w:pPr>
        <w:spacing w:after="0" w:line="240" w:lineRule="auto"/>
        <w:rPr>
          <w:b/>
          <w:sz w:val="24"/>
          <w:szCs w:val="24"/>
        </w:rPr>
      </w:pPr>
      <w:r w:rsidRPr="00AE561A">
        <w:rPr>
          <w:b/>
          <w:sz w:val="24"/>
          <w:szCs w:val="24"/>
        </w:rPr>
        <w:t>Kate Melvin</w:t>
      </w:r>
    </w:p>
    <w:p w:rsidR="00AE561A" w:rsidRPr="00AE561A" w:rsidRDefault="00AE561A" w:rsidP="00AE561A">
      <w:pPr>
        <w:spacing w:after="0" w:line="240" w:lineRule="auto"/>
        <w:rPr>
          <w:b/>
          <w:sz w:val="24"/>
          <w:szCs w:val="24"/>
        </w:rPr>
      </w:pPr>
      <w:r w:rsidRPr="00AE561A">
        <w:rPr>
          <w:b/>
          <w:sz w:val="24"/>
          <w:szCs w:val="24"/>
        </w:rPr>
        <w:t>September 2021</w:t>
      </w:r>
    </w:p>
    <w:p w:rsidR="00102E9A" w:rsidRPr="00365A67" w:rsidRDefault="00102E9A" w:rsidP="00AE561A">
      <w:pPr>
        <w:pStyle w:val="ListParagraph"/>
        <w:spacing w:after="0"/>
        <w:ind w:left="284"/>
        <w:rPr>
          <w:sz w:val="24"/>
          <w:szCs w:val="24"/>
        </w:rPr>
      </w:pPr>
    </w:p>
    <w:sectPr w:rsidR="00102E9A" w:rsidRPr="00365A67" w:rsidSect="00C60B47">
      <w:headerReference w:type="default" r:id="rId8"/>
      <w:endnotePr>
        <w:numFmt w:val="decimal"/>
      </w:endnotePr>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AAE041" w16cex:dateUtc="2021-09-28T13:47:16.708Z"/>
  <w16cex:commentExtensible w16cex:durableId="2DB3CD07" w16cex:dateUtc="2021-09-28T13:48:44.531Z"/>
  <w16cex:commentExtensible w16cex:durableId="75D3C818" w16cex:dateUtc="2021-09-28T13:58:29.47Z"/>
  <w16cex:commentExtensible w16cex:durableId="674630A6" w16cex:dateUtc="2021-09-28T14:04:00.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2A" w:rsidRDefault="0000272A" w:rsidP="00867BB4">
      <w:pPr>
        <w:spacing w:after="0" w:line="240" w:lineRule="auto"/>
      </w:pPr>
      <w:r>
        <w:separator/>
      </w:r>
    </w:p>
  </w:endnote>
  <w:endnote w:type="continuationSeparator" w:id="0">
    <w:p w:rsidR="0000272A" w:rsidRDefault="0000272A" w:rsidP="00867BB4">
      <w:pPr>
        <w:spacing w:after="0" w:line="240" w:lineRule="auto"/>
      </w:pPr>
      <w:r>
        <w:continuationSeparator/>
      </w:r>
    </w:p>
  </w:endnote>
  <w:endnote w:id="1">
    <w:p w:rsidR="00377259" w:rsidRPr="00A516D3" w:rsidRDefault="00377259">
      <w:pPr>
        <w:pStyle w:val="EndnoteText"/>
        <w:rPr>
          <w:rFonts w:ascii="Times New Roman" w:hAnsi="Times New Roman" w:cs="Times New Roman"/>
        </w:rPr>
      </w:pPr>
      <w:r>
        <w:rPr>
          <w:rStyle w:val="EndnoteReference"/>
        </w:rPr>
        <w:endnoteRef/>
      </w:r>
      <w:r>
        <w:t xml:space="preserve"> </w:t>
      </w:r>
      <w:r w:rsidRPr="00A516D3">
        <w:rPr>
          <w:rFonts w:ascii="Times New Roman" w:hAnsi="Times New Roman" w:cs="Times New Roman"/>
        </w:rPr>
        <w:t xml:space="preserve">Evans G, Hopkins H (2021) </w:t>
      </w:r>
      <w:r w:rsidRPr="00A516D3">
        <w:rPr>
          <w:rFonts w:ascii="Times New Roman" w:hAnsi="Times New Roman" w:cs="Times New Roman"/>
          <w:i/>
        </w:rPr>
        <w:t xml:space="preserve">PETRA Virtual Sandpit and ideas laboratory: a report on key points of the Sandpit. </w:t>
      </w:r>
      <w:r w:rsidRPr="00A516D3">
        <w:rPr>
          <w:rFonts w:ascii="Times New Roman" w:hAnsi="Times New Roman" w:cs="Times New Roman"/>
        </w:rPr>
        <w:t>London: Hopkins Van Mil</w:t>
      </w:r>
      <w:r w:rsidR="00E30103">
        <w:rPr>
          <w:rFonts w:ascii="Times New Roman" w:hAnsi="Times New Roman" w:cs="Times New Roman"/>
        </w:rPr>
        <w:t>, forthcoming</w:t>
      </w:r>
      <w:bookmarkStart w:id="0" w:name="_GoBack"/>
      <w:bookmarkEnd w:id="0"/>
    </w:p>
  </w:endnote>
  <w:endnote w:id="2">
    <w:p w:rsidR="00F36B95" w:rsidRPr="00E8364C" w:rsidRDefault="00F36B95" w:rsidP="00743BF1">
      <w:pPr>
        <w:pStyle w:val="NormalWeb"/>
        <w:shd w:val="clear" w:color="auto" w:fill="FFFFFF"/>
        <w:spacing w:before="0" w:beforeAutospacing="0" w:after="0" w:afterAutospacing="0"/>
      </w:pPr>
      <w:r w:rsidRPr="00E8364C">
        <w:rPr>
          <w:rStyle w:val="EndnoteReference"/>
          <w:sz w:val="20"/>
          <w:szCs w:val="20"/>
        </w:rPr>
        <w:endnoteRef/>
      </w:r>
      <w:r w:rsidRPr="00E8364C">
        <w:rPr>
          <w:sz w:val="20"/>
          <w:szCs w:val="20"/>
        </w:rPr>
        <w:t xml:space="preserve"> </w:t>
      </w:r>
      <w:proofErr w:type="spellStart"/>
      <w:r w:rsidR="009A6764" w:rsidRPr="00E8364C">
        <w:rPr>
          <w:color w:val="000000"/>
          <w:sz w:val="20"/>
          <w:szCs w:val="20"/>
        </w:rPr>
        <w:t>Thow</w:t>
      </w:r>
      <w:proofErr w:type="spellEnd"/>
      <w:r w:rsidR="009A6764" w:rsidRPr="00E8364C">
        <w:rPr>
          <w:color w:val="000000"/>
          <w:sz w:val="20"/>
          <w:szCs w:val="20"/>
        </w:rPr>
        <w:t xml:space="preserve"> AM, Garde A, Alan Winters LA, Johnson E, Mabhala </w:t>
      </w:r>
      <w:proofErr w:type="gramStart"/>
      <w:r w:rsidR="009A6764" w:rsidRPr="00E8364C">
        <w:rPr>
          <w:color w:val="000000"/>
          <w:sz w:val="20"/>
          <w:szCs w:val="20"/>
        </w:rPr>
        <w:t>A,  Kingston</w:t>
      </w:r>
      <w:proofErr w:type="gramEnd"/>
      <w:r w:rsidR="009A6764" w:rsidRPr="00E8364C">
        <w:rPr>
          <w:color w:val="000000"/>
          <w:sz w:val="20"/>
          <w:szCs w:val="20"/>
        </w:rPr>
        <w:t xml:space="preserve"> P, Barlow , (2021) </w:t>
      </w:r>
      <w:r w:rsidR="009A6764" w:rsidRPr="00E8364C">
        <w:rPr>
          <w:bCs/>
          <w:i/>
          <w:color w:val="000000"/>
          <w:sz w:val="20"/>
          <w:szCs w:val="20"/>
        </w:rPr>
        <w:t>Protecting and promoting</w:t>
      </w:r>
      <w:r w:rsidR="009A6764" w:rsidRPr="00E8364C">
        <w:rPr>
          <w:i/>
          <w:color w:val="000000"/>
          <w:sz w:val="20"/>
          <w:szCs w:val="20"/>
        </w:rPr>
        <w:t xml:space="preserve"> regulatory action for non-communicable disease prevention in future </w:t>
      </w:r>
      <w:r w:rsidR="009A6764" w:rsidRPr="00E8364C">
        <w:rPr>
          <w:bCs/>
          <w:i/>
          <w:color w:val="000000"/>
          <w:sz w:val="20"/>
          <w:szCs w:val="20"/>
        </w:rPr>
        <w:t>Trade and Investment Agreements</w:t>
      </w:r>
      <w:r w:rsidR="009A6764" w:rsidRPr="00E8364C">
        <w:rPr>
          <w:bCs/>
          <w:color w:val="000000"/>
          <w:sz w:val="20"/>
          <w:szCs w:val="20"/>
        </w:rPr>
        <w:t>, unpublished paper</w:t>
      </w:r>
    </w:p>
  </w:endnote>
  <w:endnote w:id="3">
    <w:p w:rsidR="00F36B95" w:rsidRDefault="00F36B95" w:rsidP="00743BF1">
      <w:pPr>
        <w:pStyle w:val="EndnoteText"/>
      </w:pPr>
      <w:r>
        <w:rPr>
          <w:rStyle w:val="EndnoteReference"/>
        </w:rPr>
        <w:endnoteRef/>
      </w:r>
      <w:r>
        <w:t xml:space="preserve"> Hervey, TK, Monnet J, (2020) </w:t>
      </w:r>
      <w:r>
        <w:rPr>
          <w:i/>
        </w:rPr>
        <w:t xml:space="preserve">The impact of trade and trade and investment agreements on public health from a legal/human rights perspective, </w:t>
      </w:r>
      <w:r>
        <w:t xml:space="preserve">PETRA,  </w:t>
      </w:r>
      <w:r w:rsidRPr="00144A28">
        <w:t>https://petranetwork.org/resources/the-impact-of-trade-and-trade-investment-agreements-on-public-health-froma</w:t>
      </w:r>
      <w:r>
        <w:t>-legal-human-rights-perspective, accessed 10 May 2021</w:t>
      </w:r>
    </w:p>
  </w:endnote>
  <w:endnote w:id="4">
    <w:p w:rsidR="00F36B95" w:rsidRPr="00E8364C" w:rsidRDefault="00F36B95" w:rsidP="00CB4A40">
      <w:pPr>
        <w:pStyle w:val="EndnoteText"/>
        <w:rPr>
          <w:rFonts w:ascii="Times New Roman" w:hAnsi="Times New Roman" w:cs="Times New Roman"/>
        </w:rPr>
      </w:pPr>
      <w:r w:rsidRPr="00E8364C">
        <w:rPr>
          <w:rStyle w:val="EndnoteReference"/>
          <w:rFonts w:ascii="Times New Roman" w:hAnsi="Times New Roman" w:cs="Times New Roman"/>
        </w:rPr>
        <w:endnoteRef/>
      </w:r>
      <w:r w:rsidRPr="00E8364C">
        <w:rPr>
          <w:rFonts w:ascii="Times New Roman" w:hAnsi="Times New Roman" w:cs="Times New Roman"/>
        </w:rPr>
        <w:t xml:space="preserve"> Cramer C, Pencheon D, Garde A, Parish R, (2020), </w:t>
      </w:r>
      <w:r w:rsidRPr="007B5D20">
        <w:rPr>
          <w:rFonts w:ascii="Times New Roman" w:hAnsi="Times New Roman" w:cs="Times New Roman"/>
          <w:i/>
        </w:rPr>
        <w:t>Trade unwrapped: trade and health</w:t>
      </w:r>
      <w:r w:rsidRPr="00E8364C">
        <w:rPr>
          <w:rFonts w:ascii="Times New Roman" w:hAnsi="Times New Roman" w:cs="Times New Roman"/>
        </w:rPr>
        <w:t>, Food Farming and Countryside Commission,</w:t>
      </w:r>
      <w:r w:rsidR="00A516D3">
        <w:rPr>
          <w:rFonts w:ascii="Times New Roman" w:hAnsi="Times New Roman" w:cs="Times New Roman"/>
        </w:rPr>
        <w:t xml:space="preserve"> PETRA, 18 November, 2020, </w:t>
      </w:r>
      <w:r w:rsidRPr="00E8364C">
        <w:rPr>
          <w:rFonts w:ascii="Times New Roman" w:hAnsi="Times New Roman" w:cs="Times New Roman"/>
        </w:rPr>
        <w:t xml:space="preserve"> https://petranetwork.org/resources/introduction-to-trade-and-investment-laws, accessed 17May, 2021</w:t>
      </w:r>
    </w:p>
  </w:endnote>
  <w:endnote w:id="5">
    <w:p w:rsidR="00F36B95" w:rsidRDefault="00F36B95" w:rsidP="00CB4A40">
      <w:pPr>
        <w:pStyle w:val="EndnoteText"/>
      </w:pPr>
      <w:r>
        <w:rPr>
          <w:rStyle w:val="EndnoteReference"/>
        </w:rPr>
        <w:endnoteRef/>
      </w:r>
      <w:r>
        <w:t xml:space="preserve"> </w:t>
      </w:r>
      <w:r w:rsidRPr="00E8364C">
        <w:rPr>
          <w:rFonts w:ascii="Times New Roman" w:hAnsi="Times New Roman" w:cs="Times New Roman"/>
        </w:rPr>
        <w:t xml:space="preserve">Mitchell A, Douglas A, Henn C, (2020), </w:t>
      </w:r>
      <w:r w:rsidRPr="00E8364C">
        <w:rPr>
          <w:rFonts w:ascii="Times New Roman" w:hAnsi="Times New Roman" w:cs="Times New Roman"/>
          <w:i/>
        </w:rPr>
        <w:t xml:space="preserve">Learning from Trade disputes: cases of plain packaging and minimum unit pricing, </w:t>
      </w:r>
      <w:r w:rsidRPr="00E8364C">
        <w:rPr>
          <w:rFonts w:ascii="Times New Roman" w:hAnsi="Times New Roman" w:cs="Times New Roman"/>
        </w:rPr>
        <w:t xml:space="preserve">PETRA, </w:t>
      </w:r>
      <w:r w:rsidR="00A516D3">
        <w:rPr>
          <w:rFonts w:ascii="Times New Roman" w:hAnsi="Times New Roman" w:cs="Times New Roman"/>
        </w:rPr>
        <w:t>19 March,</w:t>
      </w:r>
      <w:r w:rsidRPr="00E8364C">
        <w:rPr>
          <w:rFonts w:ascii="Times New Roman" w:hAnsi="Times New Roman" w:cs="Times New Roman"/>
        </w:rPr>
        <w:t xml:space="preserve"> 2020, https://petranetwork.org/resources/introduction-to-trade-and-investment-laws, accessed </w:t>
      </w:r>
      <w:r>
        <w:t xml:space="preserve">20 </w:t>
      </w:r>
      <w:r w:rsidRPr="00E8364C">
        <w:rPr>
          <w:rFonts w:ascii="Times New Roman" w:hAnsi="Times New Roman" w:cs="Times New Roman"/>
        </w:rPr>
        <w:t>May, 2021</w:t>
      </w:r>
    </w:p>
  </w:endnote>
  <w:endnote w:id="6">
    <w:p w:rsidR="00F36B95" w:rsidRDefault="00F36B95">
      <w:pPr>
        <w:pStyle w:val="EndnoteText"/>
      </w:pPr>
      <w:r>
        <w:rPr>
          <w:rStyle w:val="EndnoteReference"/>
        </w:rPr>
        <w:endnoteRef/>
      </w:r>
      <w:r>
        <w:t xml:space="preserve"> Mitchell A, (2021), </w:t>
      </w:r>
      <w:r>
        <w:rPr>
          <w:i/>
        </w:rPr>
        <w:t xml:space="preserve">Australia's Plain Packaging Disputes and the United Kingdom's Trade Negotiations, </w:t>
      </w:r>
      <w:r>
        <w:t xml:space="preserve">PETRA, 11 March, 2021, </w:t>
      </w:r>
      <w:r w:rsidRPr="00433357">
        <w:t>https://petranetwork.org/resources/australias-plain-packaging-disputes-and-the-uni</w:t>
      </w:r>
      <w:r>
        <w:t>ted-kingdoms-trade-negotiations, accessed 28 May 2021</w:t>
      </w:r>
    </w:p>
  </w:endnote>
  <w:endnote w:id="7">
    <w:p w:rsidR="00F36B95" w:rsidRPr="00E91CF5" w:rsidRDefault="00F36B95">
      <w:pPr>
        <w:pStyle w:val="EndnoteText"/>
        <w:rPr>
          <w:i/>
        </w:rPr>
      </w:pPr>
      <w:r>
        <w:rPr>
          <w:rStyle w:val="EndnoteReference"/>
        </w:rPr>
        <w:endnoteRef/>
      </w:r>
      <w:r>
        <w:t xml:space="preserve"> Dougan M, Hervey T, Garde A, (2021)</w:t>
      </w:r>
      <w:r>
        <w:rPr>
          <w:i/>
        </w:rPr>
        <w:t xml:space="preserve">Brexit Governance: </w:t>
      </w:r>
      <w:r w:rsidRPr="00E91CF5">
        <w:rPr>
          <w:i/>
        </w:rPr>
        <w:t>The implications of the UK's new governance arrangements for trade and health policies</w:t>
      </w:r>
      <w:r>
        <w:t xml:space="preserve">, PETRA, 5 May, 2021, </w:t>
      </w:r>
      <w:r w:rsidRPr="00345044">
        <w:t>https://petranetwork.org/resources/brexit-governance-the-implications-of-the-uks-new-governance-arrangement</w:t>
      </w:r>
      <w:r>
        <w:t>s-for-trade-and-health-policies, accessed 12 May, 2021</w:t>
      </w:r>
    </w:p>
  </w:endnote>
  <w:endnote w:id="8">
    <w:p w:rsidR="00F36B95" w:rsidRDefault="00F36B95">
      <w:pPr>
        <w:pStyle w:val="EndnoteText"/>
      </w:pPr>
      <w:r>
        <w:rPr>
          <w:rStyle w:val="EndnoteReference"/>
        </w:rPr>
        <w:endnoteRef/>
      </w:r>
      <w:r>
        <w:t xml:space="preserve"> Mitchell</w:t>
      </w:r>
      <w:r w:rsidR="005C334B">
        <w:t>, 2021</w:t>
      </w:r>
      <w:r>
        <w:t xml:space="preserve"> </w:t>
      </w:r>
    </w:p>
  </w:endnote>
  <w:endnote w:id="9">
    <w:p w:rsidR="00F36B95" w:rsidRDefault="00F36B95" w:rsidP="006476C4">
      <w:pPr>
        <w:spacing w:after="0" w:line="240" w:lineRule="auto"/>
      </w:pPr>
      <w:r>
        <w:rPr>
          <w:rStyle w:val="EndnoteReference"/>
        </w:rPr>
        <w:endnoteRef/>
      </w:r>
      <w:r>
        <w:t xml:space="preserve"> </w:t>
      </w:r>
      <w:r w:rsidRPr="00E8364C">
        <w:rPr>
          <w:rFonts w:ascii="Times New Roman" w:hAnsi="Times New Roman" w:cs="Times New Roman"/>
          <w:color w:val="000000"/>
          <w:sz w:val="20"/>
          <w:szCs w:val="20"/>
        </w:rPr>
        <w:t xml:space="preserve">Thow </w:t>
      </w:r>
      <w:r w:rsidR="005C334B">
        <w:rPr>
          <w:rFonts w:ascii="Times New Roman" w:hAnsi="Times New Roman" w:cs="Times New Roman"/>
          <w:color w:val="000000"/>
          <w:sz w:val="20"/>
          <w:szCs w:val="20"/>
        </w:rPr>
        <w:t xml:space="preserve"> et al, 2021 </w:t>
      </w:r>
    </w:p>
  </w:endnote>
  <w:endnote w:id="10">
    <w:p w:rsidR="00F36B95" w:rsidRDefault="00F36B95" w:rsidP="004E43FF">
      <w:pPr>
        <w:pStyle w:val="EndnoteText"/>
      </w:pPr>
      <w:r>
        <w:rPr>
          <w:rStyle w:val="EndnoteReference"/>
        </w:rPr>
        <w:endnoteRef/>
      </w:r>
      <w:r>
        <w:t xml:space="preserve"> </w:t>
      </w:r>
      <w:r w:rsidRPr="00E8364C">
        <w:rPr>
          <w:rFonts w:ascii="Times New Roman" w:hAnsi="Times New Roman" w:cs="Times New Roman"/>
        </w:rPr>
        <w:t xml:space="preserve">Mitchell </w:t>
      </w:r>
      <w:r w:rsidR="005C334B">
        <w:rPr>
          <w:rFonts w:ascii="Times New Roman" w:hAnsi="Times New Roman" w:cs="Times New Roman"/>
        </w:rPr>
        <w:t xml:space="preserve"> et al, 2020 </w:t>
      </w:r>
    </w:p>
  </w:endnote>
  <w:endnote w:id="11">
    <w:p w:rsidR="00F36B95" w:rsidRDefault="00F36B95">
      <w:pPr>
        <w:pStyle w:val="EndnoteText"/>
      </w:pPr>
      <w:r>
        <w:rPr>
          <w:rStyle w:val="EndnoteReference"/>
        </w:rPr>
        <w:endnoteRef/>
      </w:r>
      <w:r>
        <w:t xml:space="preserve"> Barlow P, Garde A, Messenger G, McGrady B, (2021),Public health at the WTO Technical Barriers to Trade (TBT) Committee: post-Brexit lessons for the government's Tackling obesity strategy, PETRA, 5 March 2021, </w:t>
      </w:r>
      <w:r w:rsidRPr="00342D28">
        <w:t>https://petranetwork.org/resources/public-health-at-the-wto-technical-barriers-to-trade-tbt-committee-post-brexit-lessons-for-the-governments-tackling-obesity-strategy/</w:t>
      </w:r>
      <w:r>
        <w:t>, accessed 28 May, 2021</w:t>
      </w:r>
    </w:p>
  </w:endnote>
  <w:endnote w:id="12">
    <w:p w:rsidR="00F36B95" w:rsidRDefault="00F36B95" w:rsidP="006476C4">
      <w:pPr>
        <w:pStyle w:val="EndnoteText"/>
      </w:pPr>
      <w:r>
        <w:rPr>
          <w:rStyle w:val="EndnoteReference"/>
        </w:rPr>
        <w:endnoteRef/>
      </w:r>
      <w:r>
        <w:t xml:space="preserve"> Barlow et al, 2021</w:t>
      </w:r>
    </w:p>
  </w:endnote>
  <w:endnote w:id="13">
    <w:p w:rsidR="00F36B95" w:rsidRDefault="00F36B95" w:rsidP="006476C4">
      <w:pPr>
        <w:pStyle w:val="EndnoteText"/>
      </w:pPr>
      <w:r>
        <w:t xml:space="preserve"> </w:t>
      </w:r>
      <w:r>
        <w:rPr>
          <w:rStyle w:val="EndnoteReference"/>
        </w:rPr>
        <w:endnoteRef/>
      </w:r>
      <w:r>
        <w:t xml:space="preserve"> Dougan</w:t>
      </w:r>
      <w:r w:rsidR="005C334B">
        <w:t xml:space="preserve"> et al, 2021 </w:t>
      </w:r>
      <w:r>
        <w:t xml:space="preserve"> </w:t>
      </w:r>
    </w:p>
  </w:endnote>
  <w:endnote w:id="14">
    <w:p w:rsidR="00F36B95" w:rsidRDefault="00F36B95" w:rsidP="00E50B4A">
      <w:pPr>
        <w:pStyle w:val="EndnoteText"/>
      </w:pPr>
      <w:r>
        <w:rPr>
          <w:rStyle w:val="EndnoteReference"/>
        </w:rPr>
        <w:endnoteRef/>
      </w:r>
      <w:r>
        <w:t xml:space="preserve"> </w:t>
      </w:r>
      <w:r w:rsidRPr="00E8364C">
        <w:rPr>
          <w:rFonts w:ascii="Times New Roman" w:hAnsi="Times New Roman" w:cs="Times New Roman"/>
        </w:rPr>
        <w:t xml:space="preserve">Cramer </w:t>
      </w:r>
      <w:r w:rsidR="005C334B">
        <w:rPr>
          <w:rFonts w:ascii="Times New Roman" w:hAnsi="Times New Roman" w:cs="Times New Roman"/>
        </w:rPr>
        <w:t xml:space="preserve"> et al, 2020 </w:t>
      </w:r>
    </w:p>
  </w:endnote>
  <w:endnote w:id="15">
    <w:p w:rsidR="00F36B95" w:rsidRDefault="00F36B95" w:rsidP="003071B9">
      <w:pPr>
        <w:pStyle w:val="EndnoteText"/>
      </w:pPr>
      <w:r>
        <w:rPr>
          <w:rStyle w:val="EndnoteReference"/>
        </w:rPr>
        <w:endnoteRef/>
      </w:r>
      <w:r>
        <w:t xml:space="preserve"> Hervey</w:t>
      </w:r>
      <w:r w:rsidR="005C334B">
        <w:t xml:space="preserve"> et al, 2020</w:t>
      </w:r>
    </w:p>
  </w:endnote>
  <w:endnote w:id="16">
    <w:p w:rsidR="00F36B95" w:rsidRDefault="00F36B95">
      <w:pPr>
        <w:pStyle w:val="EndnoteText"/>
      </w:pPr>
      <w:r>
        <w:rPr>
          <w:rStyle w:val="EndnoteReference"/>
        </w:rPr>
        <w:endnoteRef/>
      </w:r>
      <w:r>
        <w:t xml:space="preserve"> Sustainable Development Goals, </w:t>
      </w:r>
      <w:r w:rsidRPr="00F67A8D">
        <w:t xml:space="preserve"> https://www.un.org/sustainabledevelopmen</w:t>
      </w:r>
      <w:r>
        <w:t>t/sustainable-development-goals, accessed 9 September 2021</w:t>
      </w:r>
    </w:p>
  </w:endnote>
  <w:endnote w:id="17">
    <w:p w:rsidR="00F36B95" w:rsidRDefault="00F36B95">
      <w:pPr>
        <w:pStyle w:val="EndnoteText"/>
      </w:pPr>
      <w:r>
        <w:rPr>
          <w:rStyle w:val="EndnoteReference"/>
        </w:rPr>
        <w:endnoteRef/>
      </w:r>
      <w:r>
        <w:t xml:space="preserve"> </w:t>
      </w:r>
      <w:r w:rsidRPr="00E8364C">
        <w:rPr>
          <w:rFonts w:ascii="Times New Roman" w:hAnsi="Times New Roman" w:cs="Times New Roman"/>
        </w:rPr>
        <w:t xml:space="preserve">Mitchell </w:t>
      </w:r>
      <w:r w:rsidR="005C334B">
        <w:rPr>
          <w:rFonts w:ascii="Times New Roman" w:hAnsi="Times New Roman" w:cs="Times New Roman"/>
        </w:rPr>
        <w:t xml:space="preserve"> et al, 2020 </w:t>
      </w:r>
    </w:p>
  </w:endnote>
  <w:endnote w:id="18">
    <w:p w:rsidR="00F36B95" w:rsidRDefault="00F36B95">
      <w:pPr>
        <w:pStyle w:val="EndnoteText"/>
      </w:pPr>
      <w:r>
        <w:rPr>
          <w:rStyle w:val="EndnoteReference"/>
        </w:rPr>
        <w:endnoteRef/>
      </w:r>
      <w:r>
        <w:t xml:space="preserve"> </w:t>
      </w:r>
      <w:r w:rsidRPr="00E8364C">
        <w:t>Messenger G, Mavluda S, Siles-Brugge G, (2021</w:t>
      </w:r>
      <w:r>
        <w:t>)</w:t>
      </w:r>
      <w:r w:rsidRPr="00E8364C">
        <w:t xml:space="preserve">, Introduction to trade and investment laws, PETRA, </w:t>
      </w:r>
      <w:r w:rsidR="00A516D3">
        <w:t>26 January,</w:t>
      </w:r>
      <w:r w:rsidRPr="00E8364C">
        <w:t xml:space="preserve"> 2021,  https://petranetwork.org/resources/introduction-to-trade-and-investment-laws, accessed 17May, 2021</w:t>
      </w:r>
    </w:p>
  </w:endnote>
  <w:endnote w:id="19">
    <w:p w:rsidR="00701321" w:rsidRDefault="00701321">
      <w:pPr>
        <w:pStyle w:val="EndnoteText"/>
      </w:pPr>
      <w:r>
        <w:rPr>
          <w:rStyle w:val="EndnoteReference"/>
        </w:rPr>
        <w:endnoteRef/>
      </w:r>
      <w:r>
        <w:t xml:space="preserve"> </w:t>
      </w:r>
      <w:r w:rsidR="00610A45">
        <w:t>Cramer et al, 2021</w:t>
      </w:r>
    </w:p>
  </w:endnote>
  <w:endnote w:id="20">
    <w:p w:rsidR="00F36B95" w:rsidRDefault="00F36B95" w:rsidP="0091486C">
      <w:pPr>
        <w:pStyle w:val="EndnoteText"/>
      </w:pPr>
      <w:r>
        <w:rPr>
          <w:rStyle w:val="EndnoteReference"/>
        </w:rPr>
        <w:endnoteRef/>
      </w:r>
      <w:r>
        <w:t xml:space="preserve"> Barlow </w:t>
      </w:r>
      <w:r w:rsidR="005C334B">
        <w:t xml:space="preserve">et al, 2020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2A" w:rsidRDefault="0000272A" w:rsidP="00867BB4">
      <w:pPr>
        <w:spacing w:after="0" w:line="240" w:lineRule="auto"/>
      </w:pPr>
      <w:r>
        <w:separator/>
      </w:r>
    </w:p>
  </w:footnote>
  <w:footnote w:type="continuationSeparator" w:id="0">
    <w:p w:rsidR="0000272A" w:rsidRDefault="0000272A" w:rsidP="0086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28080"/>
      <w:docPartObj>
        <w:docPartGallery w:val="Page Numbers (Top of Page)"/>
        <w:docPartUnique/>
      </w:docPartObj>
    </w:sdtPr>
    <w:sdtEndPr/>
    <w:sdtContent>
      <w:p w:rsidR="00441CCF" w:rsidRDefault="00C02841">
        <w:pPr>
          <w:pStyle w:val="Header"/>
          <w:jc w:val="right"/>
        </w:pPr>
        <w:r>
          <w:fldChar w:fldCharType="begin"/>
        </w:r>
        <w:r w:rsidR="007C6A3F">
          <w:instrText>PAGE   \* MERGEFORMAT</w:instrText>
        </w:r>
        <w:r>
          <w:fldChar w:fldCharType="separate"/>
        </w:r>
        <w:r w:rsidR="00A92479">
          <w:rPr>
            <w:noProof/>
          </w:rPr>
          <w:t>6</w:t>
        </w:r>
        <w:r>
          <w:fldChar w:fldCharType="end"/>
        </w:r>
      </w:p>
    </w:sdtContent>
  </w:sdt>
  <w:p w:rsidR="00441CCF" w:rsidRDefault="0044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232B6"/>
    <w:multiLevelType w:val="hybridMultilevel"/>
    <w:tmpl w:val="5522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17790"/>
    <w:multiLevelType w:val="hybridMultilevel"/>
    <w:tmpl w:val="7472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543F9"/>
    <w:rsid w:val="0000272A"/>
    <w:rsid w:val="00062C3E"/>
    <w:rsid w:val="00065A4B"/>
    <w:rsid w:val="00066608"/>
    <w:rsid w:val="00083D26"/>
    <w:rsid w:val="0008623F"/>
    <w:rsid w:val="000A654B"/>
    <w:rsid w:val="000B3B31"/>
    <w:rsid w:val="000C57F9"/>
    <w:rsid w:val="000E0452"/>
    <w:rsid w:val="000E792D"/>
    <w:rsid w:val="00102E9A"/>
    <w:rsid w:val="00104246"/>
    <w:rsid w:val="00137956"/>
    <w:rsid w:val="001425B3"/>
    <w:rsid w:val="0014651C"/>
    <w:rsid w:val="0016745D"/>
    <w:rsid w:val="00173B52"/>
    <w:rsid w:val="00187024"/>
    <w:rsid w:val="001B7497"/>
    <w:rsid w:val="001E5E19"/>
    <w:rsid w:val="001E76E5"/>
    <w:rsid w:val="00205DF8"/>
    <w:rsid w:val="00291556"/>
    <w:rsid w:val="002C60BC"/>
    <w:rsid w:val="002E30ED"/>
    <w:rsid w:val="002E4F34"/>
    <w:rsid w:val="002E5956"/>
    <w:rsid w:val="002F3733"/>
    <w:rsid w:val="003071B9"/>
    <w:rsid w:val="003361E0"/>
    <w:rsid w:val="00355121"/>
    <w:rsid w:val="00365A67"/>
    <w:rsid w:val="003706C3"/>
    <w:rsid w:val="00373494"/>
    <w:rsid w:val="00375ABF"/>
    <w:rsid w:val="00376BA8"/>
    <w:rsid w:val="00377259"/>
    <w:rsid w:val="003B3AB4"/>
    <w:rsid w:val="003B7D1B"/>
    <w:rsid w:val="003E713D"/>
    <w:rsid w:val="003F6ADE"/>
    <w:rsid w:val="00432101"/>
    <w:rsid w:val="00441CCF"/>
    <w:rsid w:val="004543F9"/>
    <w:rsid w:val="0046068B"/>
    <w:rsid w:val="004A45FC"/>
    <w:rsid w:val="004A6F80"/>
    <w:rsid w:val="004E43FF"/>
    <w:rsid w:val="004F4C6B"/>
    <w:rsid w:val="00506F55"/>
    <w:rsid w:val="00510693"/>
    <w:rsid w:val="005230F2"/>
    <w:rsid w:val="00531C13"/>
    <w:rsid w:val="00592EAD"/>
    <w:rsid w:val="005939FE"/>
    <w:rsid w:val="005A2E99"/>
    <w:rsid w:val="005B0176"/>
    <w:rsid w:val="005C334B"/>
    <w:rsid w:val="005C40C2"/>
    <w:rsid w:val="005D0FCE"/>
    <w:rsid w:val="005E6C98"/>
    <w:rsid w:val="005F94E2"/>
    <w:rsid w:val="00610A45"/>
    <w:rsid w:val="00611473"/>
    <w:rsid w:val="006476C4"/>
    <w:rsid w:val="00654F11"/>
    <w:rsid w:val="00677137"/>
    <w:rsid w:val="006B22E7"/>
    <w:rsid w:val="006C454C"/>
    <w:rsid w:val="006F6567"/>
    <w:rsid w:val="00700048"/>
    <w:rsid w:val="00701321"/>
    <w:rsid w:val="00706366"/>
    <w:rsid w:val="00714E46"/>
    <w:rsid w:val="00727C87"/>
    <w:rsid w:val="00743BF1"/>
    <w:rsid w:val="00752649"/>
    <w:rsid w:val="00757DC1"/>
    <w:rsid w:val="0078103F"/>
    <w:rsid w:val="007C42BD"/>
    <w:rsid w:val="007C6A3F"/>
    <w:rsid w:val="008459D7"/>
    <w:rsid w:val="00867193"/>
    <w:rsid w:val="00867BB4"/>
    <w:rsid w:val="0087487F"/>
    <w:rsid w:val="008807AD"/>
    <w:rsid w:val="008810D5"/>
    <w:rsid w:val="00897952"/>
    <w:rsid w:val="008D0BB2"/>
    <w:rsid w:val="008D2AF6"/>
    <w:rsid w:val="008F77FC"/>
    <w:rsid w:val="009059D0"/>
    <w:rsid w:val="009079BB"/>
    <w:rsid w:val="0091486C"/>
    <w:rsid w:val="0095402D"/>
    <w:rsid w:val="00957D61"/>
    <w:rsid w:val="00980EA5"/>
    <w:rsid w:val="009A6764"/>
    <w:rsid w:val="009B37B9"/>
    <w:rsid w:val="009D4C1B"/>
    <w:rsid w:val="009E6E7F"/>
    <w:rsid w:val="00A516D3"/>
    <w:rsid w:val="00A62277"/>
    <w:rsid w:val="00A655DD"/>
    <w:rsid w:val="00A92479"/>
    <w:rsid w:val="00AA279C"/>
    <w:rsid w:val="00AA450A"/>
    <w:rsid w:val="00AB27EF"/>
    <w:rsid w:val="00AE271C"/>
    <w:rsid w:val="00AE561A"/>
    <w:rsid w:val="00B7196A"/>
    <w:rsid w:val="00BF1622"/>
    <w:rsid w:val="00BF2B6E"/>
    <w:rsid w:val="00C02841"/>
    <w:rsid w:val="00C129FB"/>
    <w:rsid w:val="00C4570F"/>
    <w:rsid w:val="00C60B47"/>
    <w:rsid w:val="00C871BB"/>
    <w:rsid w:val="00C91570"/>
    <w:rsid w:val="00CB4A40"/>
    <w:rsid w:val="00CC0AE0"/>
    <w:rsid w:val="00CC3466"/>
    <w:rsid w:val="00D012B6"/>
    <w:rsid w:val="00D46D5F"/>
    <w:rsid w:val="00D63833"/>
    <w:rsid w:val="00D83E1A"/>
    <w:rsid w:val="00D83FFE"/>
    <w:rsid w:val="00D91527"/>
    <w:rsid w:val="00DB0AAB"/>
    <w:rsid w:val="00DB2C6B"/>
    <w:rsid w:val="00DD6D80"/>
    <w:rsid w:val="00DE4040"/>
    <w:rsid w:val="00E10E2C"/>
    <w:rsid w:val="00E21F95"/>
    <w:rsid w:val="00E30103"/>
    <w:rsid w:val="00E31D53"/>
    <w:rsid w:val="00E35DB1"/>
    <w:rsid w:val="00E50B4A"/>
    <w:rsid w:val="00E8423D"/>
    <w:rsid w:val="00E860E9"/>
    <w:rsid w:val="00E91CF5"/>
    <w:rsid w:val="00E9764B"/>
    <w:rsid w:val="00EA3A40"/>
    <w:rsid w:val="00EE5007"/>
    <w:rsid w:val="00EF0109"/>
    <w:rsid w:val="00F36B95"/>
    <w:rsid w:val="00F616CF"/>
    <w:rsid w:val="00F67A8D"/>
    <w:rsid w:val="00F90A4A"/>
    <w:rsid w:val="00F93EF3"/>
    <w:rsid w:val="00F97A59"/>
    <w:rsid w:val="00F97BDB"/>
    <w:rsid w:val="00FA2241"/>
    <w:rsid w:val="00FC28C5"/>
    <w:rsid w:val="0158FFE3"/>
    <w:rsid w:val="01B03909"/>
    <w:rsid w:val="0511A587"/>
    <w:rsid w:val="0688004A"/>
    <w:rsid w:val="06DC5DC6"/>
    <w:rsid w:val="0A26AFC1"/>
    <w:rsid w:val="0A319A8D"/>
    <w:rsid w:val="0B2A19B4"/>
    <w:rsid w:val="0C4ADE42"/>
    <w:rsid w:val="0E7B570F"/>
    <w:rsid w:val="0F04D3CF"/>
    <w:rsid w:val="15F07095"/>
    <w:rsid w:val="1674A2B7"/>
    <w:rsid w:val="16FD5B7C"/>
    <w:rsid w:val="17A2FFD1"/>
    <w:rsid w:val="1B3B4969"/>
    <w:rsid w:val="1C5706F9"/>
    <w:rsid w:val="1CDD73B9"/>
    <w:rsid w:val="1F1A5F70"/>
    <w:rsid w:val="2085F6AA"/>
    <w:rsid w:val="214C616D"/>
    <w:rsid w:val="216880BD"/>
    <w:rsid w:val="2631AD75"/>
    <w:rsid w:val="296C1DEF"/>
    <w:rsid w:val="29743D4B"/>
    <w:rsid w:val="2A8D75DC"/>
    <w:rsid w:val="2A9D31D5"/>
    <w:rsid w:val="2BD222C0"/>
    <w:rsid w:val="2DDA9E55"/>
    <w:rsid w:val="2E01BB60"/>
    <w:rsid w:val="3042F38B"/>
    <w:rsid w:val="31E56DBB"/>
    <w:rsid w:val="32D982A1"/>
    <w:rsid w:val="354FDB3B"/>
    <w:rsid w:val="35D40D5D"/>
    <w:rsid w:val="3609AF83"/>
    <w:rsid w:val="3619F6F9"/>
    <w:rsid w:val="39C6A843"/>
    <w:rsid w:val="3A938CC4"/>
    <w:rsid w:val="3ACB6C29"/>
    <w:rsid w:val="3C673C8A"/>
    <w:rsid w:val="3C7045E7"/>
    <w:rsid w:val="3D27E575"/>
    <w:rsid w:val="3E05DA0A"/>
    <w:rsid w:val="4092954B"/>
    <w:rsid w:val="42C1F872"/>
    <w:rsid w:val="4934798E"/>
    <w:rsid w:val="4B7889C5"/>
    <w:rsid w:val="4F0CF3A8"/>
    <w:rsid w:val="4F9B0FF2"/>
    <w:rsid w:val="52BCAFF9"/>
    <w:rsid w:val="54932CDE"/>
    <w:rsid w:val="55F1A005"/>
    <w:rsid w:val="581BEF51"/>
    <w:rsid w:val="5A29CC0A"/>
    <w:rsid w:val="5B1AFE4C"/>
    <w:rsid w:val="5B5FD876"/>
    <w:rsid w:val="5B7590C8"/>
    <w:rsid w:val="5E3CD0B0"/>
    <w:rsid w:val="60E2FCAB"/>
    <w:rsid w:val="66E50F1B"/>
    <w:rsid w:val="66F78DE3"/>
    <w:rsid w:val="68066708"/>
    <w:rsid w:val="6A23BC88"/>
    <w:rsid w:val="6A31F5A2"/>
    <w:rsid w:val="6D5E2447"/>
    <w:rsid w:val="6FDAC878"/>
    <w:rsid w:val="75463A27"/>
    <w:rsid w:val="76679214"/>
    <w:rsid w:val="779DF0D5"/>
    <w:rsid w:val="787DDAE9"/>
    <w:rsid w:val="7ADAB0A3"/>
    <w:rsid w:val="7B3CD2E5"/>
    <w:rsid w:val="7D22BAF3"/>
    <w:rsid w:val="7DB0FEEF"/>
    <w:rsid w:val="7DD2948A"/>
    <w:rsid w:val="7E9616C1"/>
    <w:rsid w:val="7FA154D8"/>
    <w:rsid w:val="7FD0A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4529"/>
  <w15:docId w15:val="{08F27131-B7B2-4982-BB0C-9AB35DB2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67"/>
    <w:pPr>
      <w:ind w:left="720"/>
      <w:contextualSpacing/>
    </w:pPr>
  </w:style>
  <w:style w:type="paragraph" w:styleId="EndnoteText">
    <w:name w:val="endnote text"/>
    <w:basedOn w:val="Normal"/>
    <w:link w:val="EndnoteTextChar"/>
    <w:uiPriority w:val="99"/>
    <w:semiHidden/>
    <w:unhideWhenUsed/>
    <w:rsid w:val="00867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7BB4"/>
    <w:rPr>
      <w:sz w:val="20"/>
      <w:szCs w:val="20"/>
    </w:rPr>
  </w:style>
  <w:style w:type="character" w:styleId="EndnoteReference">
    <w:name w:val="endnote reference"/>
    <w:basedOn w:val="DefaultParagraphFont"/>
    <w:uiPriority w:val="99"/>
    <w:semiHidden/>
    <w:unhideWhenUsed/>
    <w:rsid w:val="00867BB4"/>
    <w:rPr>
      <w:vertAlign w:val="superscript"/>
    </w:rPr>
  </w:style>
  <w:style w:type="character" w:styleId="Hyperlink">
    <w:name w:val="Hyperlink"/>
    <w:basedOn w:val="DefaultParagraphFont"/>
    <w:uiPriority w:val="99"/>
    <w:semiHidden/>
    <w:unhideWhenUsed/>
    <w:rsid w:val="00AA450A"/>
    <w:rPr>
      <w:color w:val="0000FF"/>
      <w:u w:val="single"/>
    </w:rPr>
  </w:style>
  <w:style w:type="character" w:styleId="IntenseEmphasis">
    <w:name w:val="Intense Emphasis"/>
    <w:basedOn w:val="DefaultParagraphFont"/>
    <w:uiPriority w:val="21"/>
    <w:qFormat/>
    <w:rsid w:val="005D0FCE"/>
    <w:rPr>
      <w:b/>
      <w:bCs/>
      <w:i/>
      <w:iCs/>
      <w:color w:val="4F81BD" w:themeColor="accent1"/>
    </w:rPr>
  </w:style>
  <w:style w:type="paragraph" w:styleId="NormalWeb">
    <w:name w:val="Normal (Web)"/>
    <w:basedOn w:val="Normal"/>
    <w:uiPriority w:val="99"/>
    <w:unhideWhenUsed/>
    <w:rsid w:val="003734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1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CCF"/>
  </w:style>
  <w:style w:type="paragraph" w:styleId="Footer">
    <w:name w:val="footer"/>
    <w:basedOn w:val="Normal"/>
    <w:link w:val="FooterChar"/>
    <w:uiPriority w:val="99"/>
    <w:semiHidden/>
    <w:unhideWhenUsed/>
    <w:rsid w:val="00441C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1CCF"/>
  </w:style>
  <w:style w:type="paragraph" w:styleId="CommentText">
    <w:name w:val="annotation text"/>
    <w:basedOn w:val="Normal"/>
    <w:link w:val="CommentTextChar"/>
    <w:uiPriority w:val="99"/>
    <w:semiHidden/>
    <w:unhideWhenUsed/>
    <w:rsid w:val="009059D0"/>
    <w:pPr>
      <w:spacing w:line="240" w:lineRule="auto"/>
    </w:pPr>
    <w:rPr>
      <w:sz w:val="20"/>
      <w:szCs w:val="20"/>
    </w:rPr>
  </w:style>
  <w:style w:type="character" w:customStyle="1" w:styleId="CommentTextChar">
    <w:name w:val="Comment Text Char"/>
    <w:basedOn w:val="DefaultParagraphFont"/>
    <w:link w:val="CommentText"/>
    <w:uiPriority w:val="99"/>
    <w:semiHidden/>
    <w:rsid w:val="009059D0"/>
    <w:rPr>
      <w:sz w:val="20"/>
      <w:szCs w:val="20"/>
    </w:rPr>
  </w:style>
  <w:style w:type="character" w:styleId="CommentReference">
    <w:name w:val="annotation reference"/>
    <w:basedOn w:val="DefaultParagraphFont"/>
    <w:uiPriority w:val="99"/>
    <w:semiHidden/>
    <w:unhideWhenUsed/>
    <w:rsid w:val="009059D0"/>
    <w:rPr>
      <w:sz w:val="16"/>
      <w:szCs w:val="16"/>
    </w:rPr>
  </w:style>
  <w:style w:type="paragraph" w:styleId="BalloonText">
    <w:name w:val="Balloon Text"/>
    <w:basedOn w:val="Normal"/>
    <w:link w:val="BalloonTextChar"/>
    <w:uiPriority w:val="99"/>
    <w:semiHidden/>
    <w:unhideWhenUsed/>
    <w:rsid w:val="008F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7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77FC"/>
    <w:rPr>
      <w:b/>
      <w:bCs/>
    </w:rPr>
  </w:style>
  <w:style w:type="character" w:customStyle="1" w:styleId="CommentSubjectChar">
    <w:name w:val="Comment Subject Char"/>
    <w:basedOn w:val="CommentTextChar"/>
    <w:link w:val="CommentSubject"/>
    <w:uiPriority w:val="99"/>
    <w:semiHidden/>
    <w:rsid w:val="008F7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ad7dae87cea24f5e"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E93ED-6C5F-4D69-A7BB-68507FB5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Heather Lodge</cp:lastModifiedBy>
  <cp:revision>3</cp:revision>
  <cp:lastPrinted>2021-09-28T14:43:00Z</cp:lastPrinted>
  <dcterms:created xsi:type="dcterms:W3CDTF">2021-10-08T14:15:00Z</dcterms:created>
  <dcterms:modified xsi:type="dcterms:W3CDTF">2021-10-19T13:50:00Z</dcterms:modified>
</cp:coreProperties>
</file>